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36"/>
          <w:szCs w:val="36"/>
        </w:rPr>
      </w:pPr>
      <w:bookmarkStart w:id="0" w:name="_Hlk57883707"/>
    </w:p>
    <w:p>
      <w:pPr>
        <w:rPr>
          <w:rFonts w:eastAsia="仿宋_GB2312"/>
          <w:sz w:val="36"/>
          <w:szCs w:val="36"/>
        </w:rPr>
      </w:pPr>
    </w:p>
    <w:p>
      <w:pPr>
        <w:rPr>
          <w:rFonts w:eastAsia="仿宋_GB2312"/>
          <w:sz w:val="36"/>
          <w:szCs w:val="36"/>
        </w:rPr>
      </w:pPr>
    </w:p>
    <w:p>
      <w:pPr>
        <w:rPr>
          <w:rFonts w:eastAsia="仿宋_GB2312"/>
          <w:sz w:val="36"/>
          <w:szCs w:val="36"/>
        </w:rPr>
      </w:pPr>
    </w:p>
    <w:bookmarkEnd w:id="0"/>
    <w:p>
      <w:pPr>
        <w:ind w:firstLine="0" w:firstLineChars="0"/>
        <w:jc w:val="center"/>
        <w:outlineLvl w:val="0"/>
        <w:rPr>
          <w:rFonts w:eastAsia="方正小标宋_GBK"/>
          <w:bCs/>
          <w:sz w:val="72"/>
          <w:szCs w:val="72"/>
        </w:rPr>
      </w:pPr>
      <w:bookmarkStart w:id="1" w:name="_Toc6624"/>
      <w:r>
        <w:rPr>
          <w:rFonts w:eastAsia="方正小标宋_GBK"/>
          <w:bCs/>
          <w:sz w:val="72"/>
          <w:szCs w:val="72"/>
        </w:rPr>
        <w:t>建设项目环境影响报告表</w:t>
      </w:r>
      <w:bookmarkEnd w:id="1"/>
    </w:p>
    <w:p>
      <w:pPr>
        <w:spacing w:before="192" w:beforeLines="80"/>
        <w:ind w:firstLine="0" w:firstLineChars="0"/>
        <w:jc w:val="center"/>
        <w:rPr>
          <w:rFonts w:eastAsia="楷体_GB2312"/>
          <w:bCs/>
          <w:sz w:val="48"/>
          <w:szCs w:val="48"/>
        </w:rPr>
      </w:pPr>
      <w:r>
        <w:rPr>
          <w:rFonts w:eastAsia="楷体_GB2312"/>
          <w:bCs/>
          <w:sz w:val="48"/>
          <w:szCs w:val="48"/>
        </w:rPr>
        <w:t>（生态影响类）</w:t>
      </w:r>
    </w:p>
    <w:p>
      <w:pPr>
        <w:spacing w:line="288" w:lineRule="auto"/>
        <w:ind w:firstLine="880"/>
        <w:jc w:val="center"/>
        <w:rPr>
          <w:rFonts w:eastAsia="华文仿宋"/>
          <w:kern w:val="44"/>
          <w:sz w:val="44"/>
          <w:szCs w:val="44"/>
        </w:rPr>
      </w:pPr>
      <w:bookmarkStart w:id="2" w:name="_Hlk57883728"/>
    </w:p>
    <w:p>
      <w:pPr>
        <w:ind w:firstLine="880"/>
        <w:rPr>
          <w:rFonts w:eastAsia="仿宋"/>
          <w:sz w:val="44"/>
          <w:szCs w:val="44"/>
        </w:rPr>
      </w:pPr>
    </w:p>
    <w:p>
      <w:pPr>
        <w:ind w:firstLine="880"/>
        <w:rPr>
          <w:rFonts w:eastAsia="仿宋"/>
          <w:sz w:val="44"/>
          <w:szCs w:val="44"/>
        </w:rPr>
      </w:pPr>
    </w:p>
    <w:p>
      <w:pPr>
        <w:ind w:firstLine="880"/>
        <w:rPr>
          <w:rFonts w:eastAsia="仿宋"/>
          <w:sz w:val="44"/>
          <w:szCs w:val="44"/>
        </w:rPr>
      </w:pPr>
    </w:p>
    <w:bookmarkEnd w:id="2"/>
    <w:p>
      <w:pPr>
        <w:spacing w:line="288" w:lineRule="auto"/>
        <w:ind w:left="1800" w:hanging="1800" w:hangingChars="500"/>
        <w:rPr>
          <w:rFonts w:eastAsia="仿宋_GB2312"/>
          <w:sz w:val="36"/>
          <w:szCs w:val="36"/>
          <w:u w:val="single"/>
        </w:rPr>
      </w:pPr>
      <w:r>
        <w:rPr>
          <w:rFonts w:eastAsia="仿宋_GB2312"/>
          <w:sz w:val="36"/>
          <w:szCs w:val="36"/>
        </w:rPr>
        <w:t>项目名称：</w:t>
      </w:r>
      <w:r>
        <w:rPr>
          <w:rFonts w:eastAsia="仿宋_GB2312"/>
          <w:sz w:val="36"/>
          <w:szCs w:val="36"/>
          <w:u w:val="single"/>
        </w:rPr>
        <w:t>夏子街油田夏</w:t>
      </w:r>
      <w:r>
        <w:rPr>
          <w:rFonts w:hint="eastAsia" w:eastAsia="仿宋_GB2312"/>
          <w:sz w:val="36"/>
          <w:szCs w:val="36"/>
          <w:u w:val="single"/>
        </w:rPr>
        <w:t>37井</w:t>
      </w:r>
      <w:r>
        <w:rPr>
          <w:rFonts w:eastAsia="仿宋_GB2312"/>
          <w:sz w:val="36"/>
          <w:szCs w:val="36"/>
          <w:u w:val="single"/>
        </w:rPr>
        <w:t>区块侏罗系八道湾组油藏评价井</w:t>
      </w:r>
      <w:r>
        <w:rPr>
          <w:rFonts w:hint="eastAsia" w:eastAsia="仿宋_GB2312"/>
          <w:sz w:val="36"/>
          <w:szCs w:val="36"/>
          <w:u w:val="single"/>
        </w:rPr>
        <w:t>工程</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r>
        <w:rPr>
          <w:rFonts w:hint="eastAsia" w:eastAsia="仿宋_GB2312"/>
          <w:sz w:val="36"/>
          <w:szCs w:val="36"/>
          <w:u w:val="single"/>
        </w:rPr>
        <w:t xml:space="preserve"> </w:t>
      </w:r>
    </w:p>
    <w:p>
      <w:pPr>
        <w:ind w:left="3060" w:hanging="3060" w:hangingChars="850"/>
        <w:rPr>
          <w:rFonts w:eastAsia="仿宋_GB2312"/>
          <w:sz w:val="36"/>
          <w:szCs w:val="36"/>
          <w:u w:val="single"/>
        </w:rPr>
      </w:pPr>
      <w:r>
        <w:rPr>
          <w:rFonts w:eastAsia="仿宋_GB2312"/>
          <w:sz w:val="36"/>
          <w:szCs w:val="36"/>
        </w:rPr>
        <w:t>建设单位（盖章）：</w:t>
      </w:r>
      <w:r>
        <w:rPr>
          <w:rFonts w:eastAsia="仿宋_GB2312"/>
          <w:sz w:val="36"/>
          <w:szCs w:val="36"/>
          <w:u w:val="single"/>
        </w:rPr>
        <w:t>中国石油新疆油田分公司开发公司</w:t>
      </w:r>
      <w:r>
        <w:rPr>
          <w:rFonts w:hint="eastAsia" w:eastAsia="仿宋_GB2312"/>
          <w:sz w:val="36"/>
          <w:szCs w:val="36"/>
          <w:u w:val="single"/>
        </w:rPr>
        <w:t xml:space="preserve">  </w:t>
      </w:r>
    </w:p>
    <w:p>
      <w:pPr>
        <w:spacing w:line="288" w:lineRule="auto"/>
        <w:ind w:firstLine="0" w:firstLineChars="0"/>
        <w:rPr>
          <w:rFonts w:eastAsia="仿宋_GB2312"/>
          <w:sz w:val="36"/>
          <w:szCs w:val="36"/>
          <w:u w:val="single"/>
        </w:rPr>
      </w:pPr>
      <w:r>
        <w:rPr>
          <w:rFonts w:eastAsia="仿宋_GB2312"/>
          <w:sz w:val="36"/>
          <w:szCs w:val="36"/>
        </w:rPr>
        <w:t>编制日期：</w:t>
      </w:r>
      <w:r>
        <w:rPr>
          <w:rFonts w:eastAsia="仿宋_GB2312"/>
          <w:sz w:val="36"/>
          <w:szCs w:val="36"/>
          <w:u w:val="single"/>
        </w:rPr>
        <w:t xml:space="preserve">             202</w:t>
      </w:r>
      <w:r>
        <w:rPr>
          <w:rFonts w:hint="eastAsia" w:eastAsia="仿宋_GB2312"/>
          <w:sz w:val="36"/>
          <w:szCs w:val="36"/>
          <w:u w:val="single"/>
        </w:rPr>
        <w:t>2</w:t>
      </w:r>
      <w:r>
        <w:rPr>
          <w:rFonts w:eastAsia="仿宋_GB2312"/>
          <w:sz w:val="36"/>
          <w:szCs w:val="36"/>
          <w:u w:val="single"/>
        </w:rPr>
        <w:t>年</w:t>
      </w:r>
      <w:r>
        <w:rPr>
          <w:rFonts w:hint="eastAsia" w:eastAsia="仿宋_GB2312"/>
          <w:sz w:val="36"/>
          <w:szCs w:val="36"/>
          <w:u w:val="single"/>
        </w:rPr>
        <w:t>11</w:t>
      </w:r>
      <w:r>
        <w:rPr>
          <w:rFonts w:eastAsia="仿宋_GB2312"/>
          <w:sz w:val="36"/>
          <w:szCs w:val="36"/>
          <w:u w:val="single"/>
        </w:rPr>
        <w:t xml:space="preserve">月              </w:t>
      </w:r>
      <w:r>
        <w:rPr>
          <w:rFonts w:hint="eastAsia" w:eastAsia="仿宋_GB2312"/>
          <w:sz w:val="36"/>
          <w:szCs w:val="36"/>
          <w:u w:val="single"/>
        </w:rPr>
        <w:t xml:space="preserve">  </w:t>
      </w:r>
    </w:p>
    <w:p>
      <w:pPr>
        <w:spacing w:line="288" w:lineRule="auto"/>
        <w:rPr>
          <w:rFonts w:eastAsia="仿宋_GB2312"/>
          <w:sz w:val="36"/>
          <w:szCs w:val="36"/>
          <w:u w:val="single"/>
        </w:rPr>
      </w:pPr>
    </w:p>
    <w:p>
      <w:pPr>
        <w:spacing w:line="288" w:lineRule="auto"/>
        <w:rPr>
          <w:rFonts w:eastAsia="仿宋_GB2312"/>
          <w:sz w:val="36"/>
          <w:szCs w:val="36"/>
        </w:rPr>
      </w:pPr>
    </w:p>
    <w:p>
      <w:pPr>
        <w:spacing w:line="288" w:lineRule="auto"/>
        <w:rPr>
          <w:rFonts w:eastAsia="仿宋_GB2312"/>
          <w:sz w:val="36"/>
          <w:szCs w:val="36"/>
        </w:rPr>
      </w:pPr>
    </w:p>
    <w:p>
      <w:pPr>
        <w:spacing w:line="288" w:lineRule="auto"/>
        <w:rPr>
          <w:rFonts w:eastAsia="仿宋_GB2312"/>
          <w:sz w:val="36"/>
          <w:szCs w:val="36"/>
        </w:rPr>
      </w:pPr>
    </w:p>
    <w:p>
      <w:pPr>
        <w:spacing w:line="288" w:lineRule="auto"/>
        <w:jc w:val="center"/>
        <w:rPr>
          <w:rFonts w:eastAsia="楷体_GB2312"/>
          <w:sz w:val="36"/>
          <w:szCs w:val="36"/>
        </w:rPr>
      </w:pPr>
      <w:r>
        <w:rPr>
          <w:rFonts w:eastAsia="楷体_GB2312"/>
          <w:sz w:val="36"/>
          <w:szCs w:val="36"/>
        </w:rPr>
        <w:t>中华人民共和国生态环境部制</w:t>
      </w:r>
    </w:p>
    <w:p>
      <w:pPr>
        <w:spacing w:line="288" w:lineRule="auto"/>
        <w:rPr>
          <w:rFonts w:eastAsia="仿宋_GB2312"/>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701" w:right="1531" w:bottom="1701" w:left="1531" w:header="851" w:footer="1077" w:gutter="0"/>
          <w:pgNumType w:start="21"/>
          <w:cols w:space="720" w:num="1"/>
          <w:docGrid w:linePitch="312" w:charSpace="0"/>
        </w:sectPr>
      </w:pPr>
    </w:p>
    <w:p>
      <w:pPr>
        <w:ind w:firstLine="600"/>
        <w:jc w:val="center"/>
        <w:outlineLvl w:val="0"/>
        <w:rPr>
          <w:rFonts w:eastAsia="黑体"/>
          <w:snapToGrid w:val="0"/>
          <w:sz w:val="30"/>
          <w:szCs w:val="30"/>
        </w:rPr>
      </w:pPr>
      <w:bookmarkStart w:id="3" w:name="_Toc10111"/>
      <w:r>
        <w:rPr>
          <w:rFonts w:eastAsia="黑体"/>
          <w:snapToGrid w:val="0"/>
          <w:sz w:val="30"/>
          <w:szCs w:val="30"/>
        </w:rPr>
        <w:t>一、建设项目基本情况</w:t>
      </w:r>
      <w:bookmarkEnd w:id="3"/>
    </w:p>
    <w:tbl>
      <w:tblPr>
        <w:tblStyle w:val="14"/>
        <w:tblW w:w="8886" w:type="dxa"/>
        <w:tblInd w:w="1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786"/>
        <w:gridCol w:w="1011"/>
        <w:gridCol w:w="2501"/>
        <w:gridCol w:w="1750"/>
        <w:gridCol w:w="28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1797" w:type="dxa"/>
            <w:gridSpan w:val="2"/>
            <w:tcMar>
              <w:top w:w="16" w:type="dxa"/>
              <w:left w:w="16" w:type="dxa"/>
              <w:right w:w="16" w:type="dxa"/>
            </w:tcMar>
            <w:vAlign w:val="center"/>
          </w:tcPr>
          <w:p>
            <w:pPr>
              <w:spacing w:line="240" w:lineRule="auto"/>
              <w:ind w:firstLine="0" w:firstLineChars="0"/>
              <w:jc w:val="center"/>
            </w:pPr>
            <w:r>
              <w:t>建设项目名称</w:t>
            </w:r>
          </w:p>
        </w:tc>
        <w:tc>
          <w:tcPr>
            <w:tcW w:w="7089" w:type="dxa"/>
            <w:gridSpan w:val="3"/>
            <w:vAlign w:val="center"/>
          </w:tcPr>
          <w:p>
            <w:pPr>
              <w:spacing w:line="240" w:lineRule="auto"/>
              <w:ind w:firstLine="0" w:firstLineChars="0"/>
              <w:jc w:val="center"/>
            </w:pPr>
            <w:r>
              <w:rPr>
                <w:rFonts w:hint="eastAsia"/>
              </w:rPr>
              <w:t>夏子街油田夏37井区块侏罗系八道湾组油藏评价井工程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797" w:type="dxa"/>
            <w:gridSpan w:val="2"/>
            <w:tcMar>
              <w:top w:w="16" w:type="dxa"/>
              <w:left w:w="16" w:type="dxa"/>
              <w:right w:w="16" w:type="dxa"/>
            </w:tcMar>
            <w:vAlign w:val="center"/>
          </w:tcPr>
          <w:p>
            <w:pPr>
              <w:spacing w:line="240" w:lineRule="auto"/>
              <w:ind w:firstLine="0" w:firstLineChars="0"/>
              <w:jc w:val="center"/>
            </w:pPr>
            <w:r>
              <w:t>项目代码</w:t>
            </w:r>
          </w:p>
        </w:tc>
        <w:tc>
          <w:tcPr>
            <w:tcW w:w="7089" w:type="dxa"/>
            <w:gridSpan w:val="3"/>
            <w:vAlign w:val="center"/>
          </w:tcPr>
          <w:p>
            <w:pPr>
              <w:spacing w:line="240" w:lineRule="auto"/>
              <w:ind w:firstLine="0" w:firstLineChars="0"/>
              <w:jc w:val="center"/>
            </w:pPr>
            <w: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9" w:hRule="atLeast"/>
        </w:trPr>
        <w:tc>
          <w:tcPr>
            <w:tcW w:w="1797" w:type="dxa"/>
            <w:gridSpan w:val="2"/>
            <w:tcMar>
              <w:top w:w="16" w:type="dxa"/>
              <w:left w:w="16" w:type="dxa"/>
              <w:right w:w="16" w:type="dxa"/>
            </w:tcMar>
            <w:vAlign w:val="center"/>
          </w:tcPr>
          <w:p>
            <w:pPr>
              <w:spacing w:line="240" w:lineRule="auto"/>
              <w:ind w:firstLine="0" w:firstLineChars="0"/>
              <w:jc w:val="center"/>
            </w:pPr>
            <w:r>
              <w:t>建设单位联系人</w:t>
            </w:r>
          </w:p>
        </w:tc>
        <w:tc>
          <w:tcPr>
            <w:tcW w:w="2501" w:type="dxa"/>
            <w:vAlign w:val="center"/>
          </w:tcPr>
          <w:p>
            <w:pPr>
              <w:spacing w:line="240" w:lineRule="auto"/>
              <w:ind w:firstLine="0" w:firstLineChars="0"/>
              <w:jc w:val="center"/>
            </w:pPr>
            <w:r>
              <w:rPr>
                <w:rFonts w:hint="eastAsia"/>
              </w:rPr>
              <w:t>孙王辉</w:t>
            </w:r>
          </w:p>
        </w:tc>
        <w:tc>
          <w:tcPr>
            <w:tcW w:w="1750" w:type="dxa"/>
            <w:vAlign w:val="center"/>
          </w:tcPr>
          <w:p>
            <w:pPr>
              <w:spacing w:line="240" w:lineRule="auto"/>
              <w:ind w:firstLine="0" w:firstLineChars="0"/>
              <w:jc w:val="center"/>
            </w:pPr>
            <w:r>
              <w:t>联系方式</w:t>
            </w:r>
          </w:p>
        </w:tc>
        <w:tc>
          <w:tcPr>
            <w:tcW w:w="2838" w:type="dxa"/>
            <w:vAlign w:val="center"/>
          </w:tcPr>
          <w:p>
            <w:pPr>
              <w:spacing w:line="240" w:lineRule="auto"/>
              <w:ind w:firstLine="0" w:firstLineChars="0"/>
              <w:jc w:val="center"/>
            </w:pPr>
            <w:r>
              <w:t>13565331109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1" w:hRule="atLeast"/>
        </w:trPr>
        <w:tc>
          <w:tcPr>
            <w:tcW w:w="1797" w:type="dxa"/>
            <w:gridSpan w:val="2"/>
            <w:tcMar>
              <w:top w:w="16" w:type="dxa"/>
              <w:left w:w="16" w:type="dxa"/>
              <w:right w:w="16" w:type="dxa"/>
            </w:tcMar>
            <w:vAlign w:val="center"/>
          </w:tcPr>
          <w:p>
            <w:pPr>
              <w:spacing w:line="240" w:lineRule="auto"/>
              <w:ind w:firstLine="0" w:firstLineChars="0"/>
              <w:jc w:val="center"/>
            </w:pPr>
            <w:r>
              <w:t>建设地点</w:t>
            </w:r>
          </w:p>
        </w:tc>
        <w:tc>
          <w:tcPr>
            <w:tcW w:w="7089" w:type="dxa"/>
            <w:gridSpan w:val="3"/>
            <w:vAlign w:val="center"/>
          </w:tcPr>
          <w:p>
            <w:pPr>
              <w:spacing w:line="240" w:lineRule="auto"/>
              <w:ind w:firstLine="0" w:firstLineChars="0"/>
              <w:jc w:val="center"/>
            </w:pPr>
            <w:r>
              <w:t>新疆维吾尔自治区塔城地区和布克赛尔蒙古自治县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797" w:type="dxa"/>
            <w:gridSpan w:val="2"/>
            <w:tcMar>
              <w:top w:w="16" w:type="dxa"/>
              <w:left w:w="16" w:type="dxa"/>
              <w:right w:w="16" w:type="dxa"/>
            </w:tcMar>
            <w:vAlign w:val="center"/>
          </w:tcPr>
          <w:p>
            <w:pPr>
              <w:spacing w:line="240" w:lineRule="auto"/>
              <w:ind w:firstLine="0" w:firstLineChars="0"/>
              <w:jc w:val="center"/>
            </w:pPr>
            <w:r>
              <w:t>地理坐标</w:t>
            </w:r>
          </w:p>
        </w:tc>
        <w:tc>
          <w:tcPr>
            <w:tcW w:w="7089" w:type="dxa"/>
            <w:gridSpan w:val="3"/>
            <w:vAlign w:val="center"/>
          </w:tcPr>
          <w:p>
            <w:pPr>
              <w:spacing w:line="240" w:lineRule="auto"/>
              <w:ind w:firstLine="0" w:firstLineChars="0"/>
              <w:jc w:val="center"/>
            </w:pPr>
            <w:r>
              <w:t>夏06</w:t>
            </w:r>
            <w:r>
              <w:rPr>
                <w:rFonts w:hint="eastAsia"/>
              </w:rPr>
              <w:t>5_H</w:t>
            </w:r>
            <w:r>
              <w:t>井：</w:t>
            </w:r>
            <w:r>
              <w:rPr>
                <w:rFonts w:hint="eastAsia"/>
              </w:rPr>
              <w:t xml:space="preserve">E </w:t>
            </w:r>
            <w:r>
              <w:t>86°1</w:t>
            </w:r>
            <w:r>
              <w:rPr>
                <w:rFonts w:hint="eastAsia"/>
              </w:rPr>
              <w:t>1</w:t>
            </w:r>
            <w:r>
              <w:t>′</w:t>
            </w:r>
            <w:r>
              <w:rPr>
                <w:rFonts w:hint="eastAsia"/>
              </w:rPr>
              <w:t>47.324</w:t>
            </w:r>
            <w:r>
              <w:t>″，</w:t>
            </w:r>
            <w:r>
              <w:rPr>
                <w:rFonts w:hint="eastAsia"/>
              </w:rPr>
              <w:t xml:space="preserve">N </w:t>
            </w:r>
            <w:r>
              <w:t>46°1</w:t>
            </w:r>
            <w:r>
              <w:rPr>
                <w:rFonts w:hint="eastAsia"/>
              </w:rPr>
              <w:t>1</w:t>
            </w:r>
            <w:r>
              <w:t>′</w:t>
            </w:r>
            <w:r>
              <w:rPr>
                <w:rFonts w:hint="eastAsia"/>
              </w:rPr>
              <w:t>01.301</w:t>
            </w:r>
            <w:r>
              <w:t>″</w:t>
            </w:r>
          </w:p>
          <w:p>
            <w:pPr>
              <w:spacing w:line="240" w:lineRule="auto"/>
              <w:ind w:firstLine="0" w:firstLineChars="0"/>
              <w:jc w:val="center"/>
            </w:pPr>
            <w:r>
              <w:t>夏07</w:t>
            </w:r>
            <w:r>
              <w:rPr>
                <w:rFonts w:hint="eastAsia"/>
              </w:rPr>
              <w:t>2_H</w:t>
            </w:r>
            <w:r>
              <w:t>井：</w:t>
            </w:r>
            <w:r>
              <w:rPr>
                <w:rFonts w:hint="eastAsia"/>
              </w:rPr>
              <w:t xml:space="preserve">E </w:t>
            </w:r>
            <w:r>
              <w:t>86°1</w:t>
            </w:r>
            <w:r>
              <w:rPr>
                <w:rFonts w:hint="eastAsia"/>
              </w:rPr>
              <w:t>1</w:t>
            </w:r>
            <w:r>
              <w:t>′</w:t>
            </w:r>
            <w:r>
              <w:rPr>
                <w:rFonts w:hint="eastAsia"/>
              </w:rPr>
              <w:t>25.779</w:t>
            </w:r>
            <w:r>
              <w:t>″，</w:t>
            </w:r>
            <w:r>
              <w:rPr>
                <w:rFonts w:hint="eastAsia"/>
              </w:rPr>
              <w:t xml:space="preserve">N </w:t>
            </w:r>
            <w:r>
              <w:t>46°10′</w:t>
            </w:r>
            <w:r>
              <w:rPr>
                <w:rFonts w:hint="eastAsia"/>
              </w:rPr>
              <w:t>25.102</w:t>
            </w:r>
            <w:r>
              <w:t>″</w:t>
            </w:r>
          </w:p>
          <w:p>
            <w:pPr>
              <w:spacing w:line="240" w:lineRule="auto"/>
              <w:ind w:firstLine="0" w:firstLineChars="0"/>
              <w:jc w:val="center"/>
            </w:pPr>
            <w:r>
              <w:t>夏07</w:t>
            </w:r>
            <w:r>
              <w:rPr>
                <w:rFonts w:hint="eastAsia"/>
              </w:rPr>
              <w:t>3_H</w:t>
            </w:r>
            <w:r>
              <w:t>井：</w:t>
            </w:r>
            <w:r>
              <w:rPr>
                <w:rFonts w:hint="eastAsia"/>
              </w:rPr>
              <w:t xml:space="preserve">E </w:t>
            </w:r>
            <w:r>
              <w:t>86°1</w:t>
            </w:r>
            <w:r>
              <w:rPr>
                <w:rFonts w:hint="eastAsia"/>
              </w:rPr>
              <w:t>3</w:t>
            </w:r>
            <w:r>
              <w:t>′</w:t>
            </w:r>
            <w:r>
              <w:rPr>
                <w:rFonts w:hint="eastAsia"/>
              </w:rPr>
              <w:t>14.612</w:t>
            </w:r>
            <w:r>
              <w:t>″，</w:t>
            </w:r>
            <w:r>
              <w:rPr>
                <w:rFonts w:hint="eastAsia"/>
              </w:rPr>
              <w:t xml:space="preserve">N </w:t>
            </w:r>
            <w:r>
              <w:t>46°1</w:t>
            </w:r>
            <w:r>
              <w:rPr>
                <w:rFonts w:hint="eastAsia"/>
              </w:rPr>
              <w:t>0</w:t>
            </w:r>
            <w:r>
              <w:t>′</w:t>
            </w:r>
            <w:r>
              <w:rPr>
                <w:rFonts w:hint="eastAsia"/>
              </w:rPr>
              <w:t>25.693</w:t>
            </w:r>
            <w: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15" w:hRule="atLeast"/>
        </w:trPr>
        <w:tc>
          <w:tcPr>
            <w:tcW w:w="1797" w:type="dxa"/>
            <w:gridSpan w:val="2"/>
            <w:tcMar>
              <w:top w:w="16" w:type="dxa"/>
              <w:left w:w="16" w:type="dxa"/>
              <w:right w:w="16" w:type="dxa"/>
            </w:tcMar>
            <w:vAlign w:val="center"/>
          </w:tcPr>
          <w:p>
            <w:pPr>
              <w:spacing w:line="240" w:lineRule="auto"/>
              <w:ind w:firstLine="0" w:firstLineChars="0"/>
              <w:jc w:val="center"/>
            </w:pPr>
            <w:r>
              <w:t>建设项目</w:t>
            </w:r>
          </w:p>
          <w:p>
            <w:pPr>
              <w:spacing w:line="240" w:lineRule="auto"/>
              <w:ind w:firstLine="0" w:firstLineChars="0"/>
              <w:jc w:val="center"/>
            </w:pPr>
            <w:r>
              <w:t>行业类别</w:t>
            </w:r>
          </w:p>
        </w:tc>
        <w:tc>
          <w:tcPr>
            <w:tcW w:w="2501" w:type="dxa"/>
            <w:vAlign w:val="center"/>
          </w:tcPr>
          <w:p>
            <w:pPr>
              <w:spacing w:line="240" w:lineRule="auto"/>
              <w:ind w:firstLine="0" w:firstLineChars="0"/>
              <w:jc w:val="center"/>
            </w:pPr>
            <w:r>
              <w:t>四十六、专业技术服务业99陆地矿产资源地质勘查（含油气资源勘探）；二氧化碳地质封存</w:t>
            </w:r>
          </w:p>
        </w:tc>
        <w:tc>
          <w:tcPr>
            <w:tcW w:w="1750" w:type="dxa"/>
            <w:vAlign w:val="center"/>
          </w:tcPr>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用地（用海）面积（m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）/长度（km）</w:t>
            </w:r>
          </w:p>
        </w:tc>
        <w:tc>
          <w:tcPr>
            <w:tcW w:w="2838" w:type="dxa"/>
            <w:vAlign w:val="center"/>
          </w:tcPr>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临时占地面积</w:t>
            </w:r>
            <w:r>
              <w:rPr>
                <w:rFonts w:hint="eastAsia"/>
                <w:color w:val="000000" w:themeColor="text1"/>
                <w14:textFill>
                  <w14:solidFill>
                    <w14:schemeClr w14:val="tx1"/>
                  </w14:solidFill>
                </w14:textFill>
              </w:rPr>
              <w:t>25595m</w:t>
            </w:r>
            <w:r>
              <w:rPr>
                <w:rFonts w:hint="eastAsia"/>
                <w:color w:val="000000" w:themeColor="text1"/>
                <w:vertAlign w:val="superscript"/>
                <w14:textFill>
                  <w14:solidFill>
                    <w14:schemeClr w14:val="tx1"/>
                  </w14:solidFill>
                </w14:textFill>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4" w:hRule="atLeast"/>
        </w:trPr>
        <w:tc>
          <w:tcPr>
            <w:tcW w:w="1797" w:type="dxa"/>
            <w:gridSpan w:val="2"/>
            <w:tcMar>
              <w:top w:w="16" w:type="dxa"/>
              <w:left w:w="16" w:type="dxa"/>
              <w:right w:w="16" w:type="dxa"/>
            </w:tcMar>
            <w:vAlign w:val="center"/>
          </w:tcPr>
          <w:p>
            <w:pPr>
              <w:spacing w:line="240" w:lineRule="auto"/>
              <w:ind w:firstLine="0" w:firstLineChars="0"/>
              <w:jc w:val="center"/>
            </w:pPr>
            <w:r>
              <w:t>建设性质</w:t>
            </w:r>
          </w:p>
        </w:tc>
        <w:tc>
          <w:tcPr>
            <w:tcW w:w="2501" w:type="dxa"/>
            <w:vAlign w:val="center"/>
          </w:tcPr>
          <w:p>
            <w:pPr>
              <w:spacing w:line="240" w:lineRule="auto"/>
              <w:ind w:firstLine="0" w:firstLineChars="0"/>
              <w:jc w:val="left"/>
            </w:pPr>
            <w:r>
              <w:t>☑新建（迁建）</w:t>
            </w:r>
          </w:p>
          <w:p>
            <w:pPr>
              <w:spacing w:line="240" w:lineRule="auto"/>
              <w:ind w:firstLine="0" w:firstLineChars="0"/>
              <w:jc w:val="left"/>
            </w:pPr>
            <w:r>
              <w:t>□改建</w:t>
            </w:r>
          </w:p>
          <w:p>
            <w:pPr>
              <w:spacing w:line="240" w:lineRule="auto"/>
              <w:ind w:firstLine="0" w:firstLineChars="0"/>
              <w:jc w:val="left"/>
            </w:pPr>
            <w:r>
              <w:t>□扩建</w:t>
            </w:r>
          </w:p>
          <w:p>
            <w:pPr>
              <w:spacing w:line="240" w:lineRule="auto"/>
              <w:ind w:firstLine="0" w:firstLineChars="0"/>
              <w:jc w:val="left"/>
            </w:pPr>
            <w:r>
              <w:t>□技术改造</w:t>
            </w:r>
          </w:p>
        </w:tc>
        <w:tc>
          <w:tcPr>
            <w:tcW w:w="1750" w:type="dxa"/>
            <w:vAlign w:val="center"/>
          </w:tcPr>
          <w:p>
            <w:pPr>
              <w:spacing w:line="240" w:lineRule="auto"/>
              <w:ind w:firstLine="0" w:firstLineChars="0"/>
              <w:jc w:val="center"/>
            </w:pPr>
            <w:r>
              <w:t>建设项目</w:t>
            </w:r>
          </w:p>
          <w:p>
            <w:pPr>
              <w:spacing w:line="240" w:lineRule="auto"/>
              <w:ind w:firstLine="0" w:firstLineChars="0"/>
              <w:jc w:val="center"/>
            </w:pPr>
            <w:r>
              <w:t>申报情形</w:t>
            </w:r>
          </w:p>
        </w:tc>
        <w:tc>
          <w:tcPr>
            <w:tcW w:w="2838" w:type="dxa"/>
            <w:vAlign w:val="center"/>
          </w:tcPr>
          <w:p>
            <w:pPr>
              <w:spacing w:line="240" w:lineRule="auto"/>
              <w:ind w:firstLine="0" w:firstLineChars="0"/>
              <w:jc w:val="left"/>
            </w:pPr>
            <w:r>
              <w:t>☑首次申报项目</w:t>
            </w:r>
          </w:p>
          <w:p>
            <w:pPr>
              <w:spacing w:line="240" w:lineRule="auto"/>
              <w:ind w:firstLine="0" w:firstLineChars="0"/>
              <w:jc w:val="left"/>
            </w:pPr>
            <w:r>
              <w:t>□不予批准后再次申报项目</w:t>
            </w:r>
          </w:p>
          <w:p>
            <w:pPr>
              <w:spacing w:line="240" w:lineRule="auto"/>
              <w:ind w:firstLine="0" w:firstLineChars="0"/>
              <w:jc w:val="left"/>
            </w:pPr>
            <w:r>
              <w:t>□超五年重新审核项目</w:t>
            </w:r>
          </w:p>
          <w:p>
            <w:pPr>
              <w:spacing w:line="240" w:lineRule="auto"/>
              <w:ind w:firstLine="0" w:firstLineChars="0"/>
              <w:jc w:val="left"/>
            </w:pPr>
            <w: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62" w:hRule="atLeast"/>
        </w:trPr>
        <w:tc>
          <w:tcPr>
            <w:tcW w:w="1797" w:type="dxa"/>
            <w:gridSpan w:val="2"/>
            <w:tcMar>
              <w:top w:w="16" w:type="dxa"/>
              <w:left w:w="16" w:type="dxa"/>
              <w:right w:w="16" w:type="dxa"/>
            </w:tcMar>
            <w:vAlign w:val="center"/>
          </w:tcPr>
          <w:p>
            <w:pPr>
              <w:spacing w:line="240" w:lineRule="auto"/>
              <w:ind w:firstLine="0" w:firstLineChars="0"/>
              <w:jc w:val="center"/>
            </w:pPr>
            <w:r>
              <w:t>项目审批（核准/</w:t>
            </w:r>
          </w:p>
          <w:p>
            <w:pPr>
              <w:spacing w:line="240" w:lineRule="auto"/>
              <w:ind w:firstLine="0" w:firstLineChars="0"/>
              <w:jc w:val="center"/>
            </w:pPr>
            <w:r>
              <w:t>备案）部门</w:t>
            </w:r>
          </w:p>
        </w:tc>
        <w:tc>
          <w:tcPr>
            <w:tcW w:w="2501" w:type="dxa"/>
            <w:vAlign w:val="center"/>
          </w:tcPr>
          <w:p>
            <w:pPr>
              <w:spacing w:line="240" w:lineRule="auto"/>
              <w:ind w:firstLine="0" w:firstLineChars="0"/>
              <w:jc w:val="center"/>
            </w:pPr>
            <w:r>
              <w:t>/</w:t>
            </w:r>
          </w:p>
        </w:tc>
        <w:tc>
          <w:tcPr>
            <w:tcW w:w="1750" w:type="dxa"/>
            <w:vAlign w:val="center"/>
          </w:tcPr>
          <w:p>
            <w:pPr>
              <w:spacing w:line="240" w:lineRule="auto"/>
              <w:ind w:firstLine="0" w:firstLineChars="0"/>
              <w:jc w:val="center"/>
            </w:pPr>
            <w:r>
              <w:t>项目审批（核准/</w:t>
            </w:r>
          </w:p>
          <w:p>
            <w:pPr>
              <w:spacing w:line="240" w:lineRule="auto"/>
              <w:ind w:firstLine="0" w:firstLineChars="0"/>
              <w:jc w:val="center"/>
            </w:pPr>
            <w:r>
              <w:t>备案）文号</w:t>
            </w:r>
          </w:p>
        </w:tc>
        <w:tc>
          <w:tcPr>
            <w:tcW w:w="2838" w:type="dxa"/>
            <w:vAlign w:val="center"/>
          </w:tcPr>
          <w:p>
            <w:pPr>
              <w:spacing w:line="240" w:lineRule="auto"/>
              <w:ind w:firstLine="0" w:firstLineChars="0"/>
              <w:jc w:val="center"/>
            </w:pPr>
            <w: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1797" w:type="dxa"/>
            <w:gridSpan w:val="2"/>
            <w:tcMar>
              <w:top w:w="16" w:type="dxa"/>
              <w:left w:w="16" w:type="dxa"/>
              <w:right w:w="16" w:type="dxa"/>
            </w:tcMar>
            <w:vAlign w:val="center"/>
          </w:tcPr>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总投资（万元）</w:t>
            </w:r>
          </w:p>
        </w:tc>
        <w:tc>
          <w:tcPr>
            <w:tcW w:w="2501" w:type="dxa"/>
            <w:vAlign w:val="center"/>
          </w:tcPr>
          <w:p>
            <w:pPr>
              <w:spacing w:line="240" w:lineRule="auto"/>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1015.89</w:t>
            </w:r>
          </w:p>
        </w:tc>
        <w:tc>
          <w:tcPr>
            <w:tcW w:w="1750" w:type="dxa"/>
            <w:tcMar>
              <w:top w:w="16" w:type="dxa"/>
              <w:left w:w="16" w:type="dxa"/>
              <w:right w:w="16" w:type="dxa"/>
            </w:tcMar>
            <w:vAlign w:val="center"/>
          </w:tcPr>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环保投资（万元）</w:t>
            </w:r>
          </w:p>
        </w:tc>
        <w:tc>
          <w:tcPr>
            <w:tcW w:w="2838" w:type="dxa"/>
            <w:vAlign w:val="center"/>
          </w:tcPr>
          <w:p>
            <w:pPr>
              <w:spacing w:line="240" w:lineRule="auto"/>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116.6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1797" w:type="dxa"/>
            <w:gridSpan w:val="2"/>
            <w:tcMar>
              <w:top w:w="16" w:type="dxa"/>
              <w:left w:w="16" w:type="dxa"/>
              <w:right w:w="16" w:type="dxa"/>
            </w:tcMar>
            <w:vAlign w:val="center"/>
          </w:tcPr>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环保投资占比（%）</w:t>
            </w:r>
          </w:p>
        </w:tc>
        <w:tc>
          <w:tcPr>
            <w:tcW w:w="2501" w:type="dxa"/>
            <w:vAlign w:val="center"/>
          </w:tcPr>
          <w:p>
            <w:pPr>
              <w:spacing w:line="240" w:lineRule="auto"/>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11.48</w:t>
            </w:r>
          </w:p>
        </w:tc>
        <w:tc>
          <w:tcPr>
            <w:tcW w:w="1750" w:type="dxa"/>
            <w:tcMar>
              <w:top w:w="16" w:type="dxa"/>
              <w:left w:w="16" w:type="dxa"/>
              <w:right w:w="16" w:type="dxa"/>
            </w:tcMar>
            <w:vAlign w:val="center"/>
          </w:tcPr>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施工工期</w:t>
            </w:r>
          </w:p>
        </w:tc>
        <w:tc>
          <w:tcPr>
            <w:tcW w:w="2838" w:type="dxa"/>
            <w:vAlign w:val="center"/>
          </w:tcPr>
          <w:p>
            <w:pPr>
              <w:spacing w:line="240" w:lineRule="auto"/>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单井钻井</w:t>
            </w:r>
            <w:r>
              <w:rPr>
                <w:color w:val="000000" w:themeColor="text1"/>
                <w14:textFill>
                  <w14:solidFill>
                    <w14:schemeClr w14:val="tx1"/>
                  </w14:solidFill>
                </w14:textFill>
              </w:rPr>
              <w:t>周期</w:t>
            </w:r>
            <w:r>
              <w:rPr>
                <w:rFonts w:hint="eastAsia"/>
                <w:color w:val="000000" w:themeColor="text1"/>
                <w14:textFill>
                  <w14:solidFill>
                    <w14:schemeClr w14:val="tx1"/>
                  </w14:solidFill>
                </w14:textFill>
              </w:rPr>
              <w:t>30</w:t>
            </w:r>
            <w:r>
              <w:rPr>
                <w:color w:val="000000" w:themeColor="text1"/>
                <w14:textFill>
                  <w14:solidFill>
                    <w14:schemeClr w14:val="tx1"/>
                  </w14:solidFill>
                </w14:textFill>
              </w:rPr>
              <w:t>天，</w:t>
            </w:r>
          </w:p>
          <w:p>
            <w:pPr>
              <w:spacing w:line="240" w:lineRule="auto"/>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单井试油周期180天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29" w:hRule="atLeast"/>
        </w:trPr>
        <w:tc>
          <w:tcPr>
            <w:tcW w:w="1797" w:type="dxa"/>
            <w:gridSpan w:val="2"/>
            <w:tcMar>
              <w:top w:w="16" w:type="dxa"/>
              <w:left w:w="16" w:type="dxa"/>
              <w:right w:w="16" w:type="dxa"/>
            </w:tcMar>
            <w:vAlign w:val="center"/>
          </w:tcPr>
          <w:p>
            <w:pPr>
              <w:spacing w:line="240" w:lineRule="auto"/>
              <w:ind w:firstLine="0" w:firstLineChars="0"/>
              <w:jc w:val="center"/>
            </w:pPr>
            <w:r>
              <w:t>是否开工建设</w:t>
            </w:r>
          </w:p>
        </w:tc>
        <w:tc>
          <w:tcPr>
            <w:tcW w:w="7089" w:type="dxa"/>
            <w:gridSpan w:val="3"/>
            <w:vAlign w:val="center"/>
          </w:tcPr>
          <w:p>
            <w:pPr>
              <w:spacing w:line="240" w:lineRule="auto"/>
              <w:ind w:firstLine="0" w:firstLineChars="0"/>
              <w:jc w:val="center"/>
            </w:pPr>
            <w:r>
              <w:t>☑否□是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34" w:hRule="atLeast"/>
        </w:trPr>
        <w:tc>
          <w:tcPr>
            <w:tcW w:w="1797" w:type="dxa"/>
            <w:gridSpan w:val="2"/>
            <w:tcMar>
              <w:top w:w="16" w:type="dxa"/>
              <w:left w:w="16" w:type="dxa"/>
              <w:right w:w="16" w:type="dxa"/>
            </w:tcMar>
            <w:vAlign w:val="center"/>
          </w:tcPr>
          <w:p>
            <w:pPr>
              <w:autoSpaceDE w:val="0"/>
              <w:autoSpaceDN w:val="0"/>
              <w:spacing w:line="240" w:lineRule="auto"/>
              <w:ind w:firstLine="0" w:firstLineChars="0"/>
              <w:jc w:val="center"/>
              <w:rPr>
                <w:kern w:val="0"/>
              </w:rPr>
            </w:pPr>
            <w:r>
              <w:rPr>
                <w:kern w:val="0"/>
              </w:rPr>
              <w:t>专项评价设置情况</w:t>
            </w:r>
          </w:p>
        </w:tc>
        <w:tc>
          <w:tcPr>
            <w:tcW w:w="7089" w:type="dxa"/>
            <w:gridSpan w:val="3"/>
            <w:tcMar>
              <w:top w:w="16" w:type="dxa"/>
              <w:left w:w="16" w:type="dxa"/>
              <w:right w:w="16" w:type="dxa"/>
            </w:tcMar>
            <w:vAlign w:val="center"/>
          </w:tcPr>
          <w:p>
            <w:pPr>
              <w:autoSpaceDE w:val="0"/>
              <w:autoSpaceDN w:val="0"/>
              <w:spacing w:line="240" w:lineRule="auto"/>
              <w:ind w:firstLine="0" w:firstLineChars="0"/>
              <w:jc w:val="center"/>
              <w:rPr>
                <w:kern w:val="0"/>
              </w:rPr>
            </w:pPr>
            <w:r>
              <w:rPr>
                <w:kern w:val="0"/>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434" w:hRule="atLeast"/>
        </w:trPr>
        <w:tc>
          <w:tcPr>
            <w:tcW w:w="1797" w:type="dxa"/>
            <w:gridSpan w:val="2"/>
            <w:tcMar>
              <w:top w:w="16" w:type="dxa"/>
              <w:left w:w="16" w:type="dxa"/>
              <w:right w:w="16" w:type="dxa"/>
            </w:tcMar>
            <w:vAlign w:val="center"/>
          </w:tcPr>
          <w:p>
            <w:pPr>
              <w:autoSpaceDE w:val="0"/>
              <w:autoSpaceDN w:val="0"/>
              <w:spacing w:line="240" w:lineRule="auto"/>
              <w:ind w:firstLine="0" w:firstLineChars="0"/>
              <w:jc w:val="center"/>
              <w:rPr>
                <w:kern w:val="0"/>
              </w:rPr>
            </w:pPr>
            <w:r>
              <w:t>规划情况</w:t>
            </w:r>
          </w:p>
        </w:tc>
        <w:tc>
          <w:tcPr>
            <w:tcW w:w="7089" w:type="dxa"/>
            <w:gridSpan w:val="3"/>
            <w:tcMar>
              <w:top w:w="16" w:type="dxa"/>
              <w:left w:w="16" w:type="dxa"/>
              <w:right w:w="16" w:type="dxa"/>
            </w:tcMar>
            <w:vAlign w:val="center"/>
          </w:tcPr>
          <w:p>
            <w:pPr>
              <w:pStyle w:val="2"/>
              <w:spacing w:line="360" w:lineRule="auto"/>
              <w:jc w:val="left"/>
              <w:rPr>
                <w:sz w:val="24"/>
                <w:szCs w:val="24"/>
              </w:rPr>
            </w:pPr>
            <w:r>
              <w:rPr>
                <w:rFonts w:hint="eastAsia"/>
                <w:b w:val="0"/>
                <w:bCs/>
                <w:sz w:val="24"/>
                <w:szCs w:val="24"/>
              </w:rPr>
              <w:t>规划名称：</w:t>
            </w:r>
            <w:r>
              <w:rPr>
                <w:b w:val="0"/>
                <w:bCs/>
                <w:sz w:val="24"/>
                <w:szCs w:val="24"/>
              </w:rPr>
              <w:t>《新疆维吾尔自治区矿产资源总体规划（2021-2025年）》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64" w:hRule="atLeast"/>
        </w:trPr>
        <w:tc>
          <w:tcPr>
            <w:tcW w:w="1797" w:type="dxa"/>
            <w:gridSpan w:val="2"/>
            <w:tcMar>
              <w:top w:w="16" w:type="dxa"/>
              <w:left w:w="16" w:type="dxa"/>
              <w:right w:w="16" w:type="dxa"/>
            </w:tcMar>
            <w:vAlign w:val="center"/>
          </w:tcPr>
          <w:p>
            <w:pPr>
              <w:autoSpaceDE w:val="0"/>
              <w:autoSpaceDN w:val="0"/>
              <w:spacing w:line="240" w:lineRule="auto"/>
              <w:ind w:firstLine="0" w:firstLineChars="0"/>
              <w:jc w:val="center"/>
            </w:pPr>
            <w:r>
              <w:t>规划环境影响</w:t>
            </w:r>
          </w:p>
          <w:p>
            <w:pPr>
              <w:autoSpaceDE w:val="0"/>
              <w:autoSpaceDN w:val="0"/>
              <w:spacing w:line="240" w:lineRule="auto"/>
              <w:ind w:firstLine="0" w:firstLineChars="0"/>
              <w:jc w:val="center"/>
              <w:rPr>
                <w:kern w:val="0"/>
              </w:rPr>
            </w:pPr>
            <w:r>
              <w:t>评价情况</w:t>
            </w:r>
          </w:p>
        </w:tc>
        <w:tc>
          <w:tcPr>
            <w:tcW w:w="7089" w:type="dxa"/>
            <w:gridSpan w:val="3"/>
            <w:tcMar>
              <w:top w:w="16" w:type="dxa"/>
              <w:left w:w="16" w:type="dxa"/>
              <w:right w:w="16" w:type="dxa"/>
            </w:tcMar>
            <w:vAlign w:val="center"/>
          </w:tcPr>
          <w:p>
            <w:pPr>
              <w:pStyle w:val="2"/>
              <w:spacing w:line="360" w:lineRule="auto"/>
              <w:jc w:val="left"/>
              <w:rPr>
                <w:b w:val="0"/>
                <w:bCs/>
                <w:sz w:val="24"/>
                <w:szCs w:val="24"/>
              </w:rPr>
            </w:pPr>
            <w:r>
              <w:rPr>
                <w:rFonts w:hint="eastAsia"/>
                <w:b w:val="0"/>
                <w:bCs/>
                <w:sz w:val="24"/>
                <w:szCs w:val="24"/>
              </w:rPr>
              <w:t>文件名称：</w:t>
            </w:r>
            <w:r>
              <w:rPr>
                <w:b w:val="0"/>
                <w:bCs/>
                <w:sz w:val="24"/>
                <w:szCs w:val="24"/>
              </w:rPr>
              <w:t>《新疆维吾尔自治区矿产资源总体规划（2021-2025年）环境影响报告书》</w:t>
            </w:r>
            <w:r>
              <w:rPr>
                <w:rFonts w:hint="eastAsia"/>
                <w:b w:val="0"/>
                <w:bCs/>
                <w:sz w:val="24"/>
                <w:szCs w:val="24"/>
              </w:rPr>
              <w:t>；</w:t>
            </w:r>
          </w:p>
          <w:p>
            <w:pPr>
              <w:pStyle w:val="2"/>
              <w:spacing w:line="360" w:lineRule="auto"/>
              <w:jc w:val="left"/>
              <w:rPr>
                <w:b w:val="0"/>
                <w:bCs/>
                <w:sz w:val="24"/>
                <w:szCs w:val="24"/>
              </w:rPr>
            </w:pPr>
            <w:r>
              <w:rPr>
                <w:rFonts w:hint="eastAsia"/>
                <w:b w:val="0"/>
                <w:bCs/>
                <w:sz w:val="24"/>
                <w:szCs w:val="24"/>
              </w:rPr>
              <w:t>审查机关：中华人民共和国生态环境部；</w:t>
            </w:r>
          </w:p>
          <w:p>
            <w:pPr>
              <w:pStyle w:val="2"/>
              <w:spacing w:line="360" w:lineRule="auto"/>
              <w:jc w:val="left"/>
              <w:rPr>
                <w:sz w:val="24"/>
                <w:szCs w:val="24"/>
              </w:rPr>
            </w:pPr>
            <w:r>
              <w:rPr>
                <w:rFonts w:hint="eastAsia"/>
                <w:b w:val="0"/>
                <w:bCs/>
                <w:sz w:val="24"/>
                <w:szCs w:val="24"/>
              </w:rPr>
              <w:t>审查文件名称及文号：《关于</w:t>
            </w:r>
            <w:r>
              <w:rPr>
                <w:b w:val="0"/>
                <w:bCs/>
                <w:sz w:val="24"/>
                <w:szCs w:val="24"/>
              </w:rPr>
              <w:t>新疆维吾尔自治区矿产资源总体规划（2021-2025年）环境影响报告书</w:t>
            </w:r>
            <w:r>
              <w:rPr>
                <w:rFonts w:hint="eastAsia"/>
                <w:b w:val="0"/>
                <w:bCs/>
                <w:sz w:val="24"/>
                <w:szCs w:val="24"/>
              </w:rPr>
              <w:t>的审查意见》环审〔2022〕124号。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634" w:hRule="atLeast"/>
        </w:trPr>
        <w:tc>
          <w:tcPr>
            <w:tcW w:w="786" w:type="dxa"/>
            <w:tcMar>
              <w:top w:w="16" w:type="dxa"/>
              <w:left w:w="16" w:type="dxa"/>
              <w:right w:w="16" w:type="dxa"/>
            </w:tcMar>
            <w:vAlign w:val="center"/>
          </w:tcPr>
          <w:p>
            <w:pPr>
              <w:autoSpaceDE w:val="0"/>
              <w:autoSpaceDN w:val="0"/>
              <w:spacing w:line="240" w:lineRule="auto"/>
              <w:ind w:firstLine="0" w:firstLineChars="0"/>
              <w:jc w:val="center"/>
              <w:rPr>
                <w:kern w:val="0"/>
              </w:rPr>
            </w:pPr>
            <w:r>
              <w:rPr>
                <w:kern w:val="0"/>
              </w:rPr>
              <w:t>规划及</w:t>
            </w:r>
            <w:r>
              <w:t>规划环境影响评价</w:t>
            </w:r>
            <w:r>
              <w:rPr>
                <w:kern w:val="0"/>
              </w:rPr>
              <w:t>符合性分析</w:t>
            </w:r>
          </w:p>
        </w:tc>
        <w:tc>
          <w:tcPr>
            <w:tcW w:w="8100" w:type="dxa"/>
            <w:gridSpan w:val="4"/>
            <w:tcMar>
              <w:top w:w="16" w:type="dxa"/>
              <w:left w:w="16" w:type="dxa"/>
              <w:right w:w="16" w:type="dxa"/>
            </w:tcMar>
            <w:vAlign w:val="center"/>
          </w:tcPr>
          <w:p>
            <w:pPr>
              <w:autoSpaceDE w:val="0"/>
              <w:autoSpaceDN w:val="0"/>
              <w:ind w:firstLine="480"/>
              <w:rPr>
                <w:rFonts w:hint="eastAsia"/>
                <w:lang w:val="en-US" w:eastAsia="zh-CN"/>
              </w:rPr>
            </w:pPr>
            <w:r>
              <w:t>《新疆维吾尔自治区矿产资源总体规划（2021-2025年）</w:t>
            </w:r>
            <w:r>
              <w:rPr>
                <w:rFonts w:hint="eastAsia"/>
              </w:rPr>
              <w:t>》依据矿产资源分布特点及勘查开发利用现状，按照“深化北疆东疆，加快南疆勘查开发”的总体思路，划分环准噶尔、环塔里木、阿尔泰、东准噶尔、西准噶尔、东天山、西天山、西南天山、西昆仑、东昆仑—阿尔金等“两环八带”十个勘查开发区，同时将石油、天然气列为重点勘查开采矿种。本项目位于准噶尔能源矿产勘查开发区，同时属于</w:t>
            </w:r>
            <w:r>
              <w:t>陆地矿产资源地质勘查（含油气资源勘探）</w:t>
            </w:r>
            <w:r>
              <w:rPr>
                <w:rFonts w:hint="eastAsia"/>
              </w:rPr>
              <w:t>项目，</w:t>
            </w:r>
            <w:r>
              <w:t>符合规划要求；《新疆维吾尔自治区矿产资源总体规划（20</w:t>
            </w:r>
            <w:r>
              <w:rPr>
                <w:rFonts w:hint="eastAsia"/>
              </w:rPr>
              <w:t>21-2025</w:t>
            </w:r>
            <w:r>
              <w:t>年）环境影响报告书》要求对</w:t>
            </w:r>
            <w:r>
              <w:rPr>
                <w:rFonts w:hint="eastAsia"/>
              </w:rPr>
              <w:t>勘探</w:t>
            </w:r>
            <w:r>
              <w:t>过程中的废气、废水、固体废物采取相应的治理措施，对实施过程中产生的生态影响采取有效的减缓措施</w:t>
            </w:r>
            <w:r>
              <w:rPr>
                <w:rFonts w:hint="eastAsia"/>
                <w:lang w:val="en-US" w:eastAsia="zh-CN"/>
              </w:rPr>
              <w:t>.</w:t>
            </w:r>
          </w:p>
          <w:p>
            <w:pPr>
              <w:autoSpaceDE w:val="0"/>
              <w:autoSpaceDN w:val="0"/>
              <w:ind w:firstLine="480"/>
              <w:rPr>
                <w:kern w:val="0"/>
              </w:rPr>
            </w:pPr>
            <w:r>
              <w:rPr>
                <w:rFonts w:hint="eastAsia"/>
              </w:rPr>
              <w:t>本项目废气主要为施工扬尘、柴油机、运输车辆废气和</w:t>
            </w:r>
            <w:r>
              <w:t>临时储罐废气</w:t>
            </w:r>
            <w:r>
              <w:rPr>
                <w:rFonts w:hint="eastAsia"/>
              </w:rPr>
              <w:t>，通过洒水降尘、选用高品质的合格油品和</w:t>
            </w:r>
            <w:r>
              <w:t>密闭底部装载方式减少废气的排放</w:t>
            </w:r>
            <w:r>
              <w:rPr>
                <w:rFonts w:hint="eastAsia"/>
              </w:rPr>
              <w:t>；试油期洗井废水采用专用废液收集罐收集后拉运至乌尔禾稀油处理站污水处理系统处置；</w:t>
            </w:r>
            <w:r>
              <w:t>钻井液经“钻井泥浆不落地技术”处理后循环使用，剩余钻井液回收后用于后续钻井液配置；岩屑</w:t>
            </w:r>
            <w:r>
              <w:rPr>
                <w:rFonts w:hint="eastAsia"/>
              </w:rPr>
              <w:t>收集于</w:t>
            </w:r>
            <w:r>
              <w:t>岩屑储罐，委托</w:t>
            </w:r>
            <w:r>
              <w:rPr>
                <w:rFonts w:hint="eastAsia"/>
              </w:rPr>
              <w:t>有资质的单位</w:t>
            </w:r>
            <w:r>
              <w:t>处置</w:t>
            </w:r>
            <w:r>
              <w:rPr>
                <w:rFonts w:hint="eastAsia"/>
              </w:rPr>
              <w:t>；压裂返排液</w:t>
            </w:r>
            <w:r>
              <w:t>进入罐车拉运至</w:t>
            </w:r>
            <w:r>
              <w:rPr>
                <w:rFonts w:hint="eastAsia"/>
              </w:rPr>
              <w:t>乌尔禾稀油处理站污水处理系统处理，落地油100%回收，机械设备废油和废弃防渗膜委托有危废处置资质的单位处置</w:t>
            </w:r>
            <w:r>
              <w:t>，同时对生态影响采取了有效的减缓措施，符合《报告书》的要求。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431" w:hRule="atLeast"/>
        </w:trPr>
        <w:tc>
          <w:tcPr>
            <w:tcW w:w="786" w:type="dxa"/>
            <w:tcMar>
              <w:top w:w="16" w:type="dxa"/>
              <w:left w:w="16" w:type="dxa"/>
              <w:right w:w="16" w:type="dxa"/>
            </w:tcMar>
            <w:vAlign w:val="center"/>
          </w:tcPr>
          <w:p>
            <w:pPr>
              <w:autoSpaceDE w:val="0"/>
              <w:autoSpaceDN w:val="0"/>
              <w:ind w:firstLine="0" w:firstLineChars="0"/>
              <w:jc w:val="center"/>
              <w:rPr>
                <w:kern w:val="0"/>
              </w:rPr>
            </w:pPr>
            <w:bookmarkStart w:id="4" w:name="_Hlk56690880"/>
            <w:r>
              <w:rPr>
                <w:kern w:val="0"/>
              </w:rPr>
              <w:t>其他符合性分析</w:t>
            </w:r>
            <w:bookmarkEnd w:id="4"/>
          </w:p>
        </w:tc>
        <w:tc>
          <w:tcPr>
            <w:tcW w:w="8100" w:type="dxa"/>
            <w:gridSpan w:val="4"/>
            <w:tcMar>
              <w:top w:w="16" w:type="dxa"/>
              <w:left w:w="16" w:type="dxa"/>
              <w:right w:w="16" w:type="dxa"/>
            </w:tcMar>
            <w:vAlign w:val="center"/>
          </w:tcPr>
          <w:p>
            <w:pPr>
              <w:pStyle w:val="18"/>
            </w:pPr>
            <w:r>
              <w:t>1 产业政策、相关规划符合性分析</w:t>
            </w:r>
          </w:p>
          <w:p>
            <w:pPr>
              <w:pStyle w:val="19"/>
            </w:pPr>
            <w:r>
              <w:t>1.1 产业政策合理性分析</w:t>
            </w:r>
          </w:p>
          <w:p>
            <w:pPr>
              <w:ind w:firstLine="480"/>
            </w:pPr>
            <w:r>
              <w:t>根据《产业结构调整指导目录</w:t>
            </w:r>
            <w:r>
              <w:rPr>
                <w:rFonts w:hint="eastAsia" w:ascii="宋体" w:hAnsi="宋体" w:cs="宋体"/>
                <w:kern w:val="0"/>
                <w:lang w:bidi="ar"/>
              </w:rPr>
              <w:t>（</w:t>
            </w:r>
            <w:r>
              <w:rPr>
                <w:kern w:val="0"/>
                <w:lang w:bidi="ar"/>
              </w:rPr>
              <w:t>2019</w:t>
            </w:r>
            <w:r>
              <w:rPr>
                <w:rFonts w:hint="eastAsia" w:ascii="宋体" w:hAnsi="宋体" w:cs="宋体"/>
                <w:kern w:val="0"/>
                <w:lang w:bidi="ar"/>
              </w:rPr>
              <w:t>年本，</w:t>
            </w:r>
            <w:r>
              <w:rPr>
                <w:rFonts w:hint="eastAsia"/>
                <w:kern w:val="0"/>
                <w:lang w:bidi="ar"/>
              </w:rPr>
              <w:t>2021年修订</w:t>
            </w:r>
            <w:r>
              <w:rPr>
                <w:rFonts w:hint="eastAsia" w:ascii="宋体" w:hAnsi="宋体" w:cs="宋体"/>
                <w:kern w:val="0"/>
                <w:lang w:bidi="ar"/>
              </w:rPr>
              <w:t>）</w:t>
            </w:r>
            <w:r>
              <w:t>》的有关规定，本项目属于第一类“鼓励类”第七项“石油、天然气”第1条“常规石油、天然气勘探与开采”，符合国家产业政策。</w:t>
            </w:r>
          </w:p>
          <w:p>
            <w:pPr>
              <w:pStyle w:val="19"/>
            </w:pPr>
            <w:r>
              <w:t>1.2 与《石油天然气开采业污染防治技术政策》符合性分析</w:t>
            </w:r>
          </w:p>
          <w:p>
            <w:pPr>
              <w:ind w:firstLine="480"/>
            </w:pPr>
            <w:r>
              <w:t>本项目与《石油天然气开采业污染防治技术政策》（公告2012年第18号，2012年3月7日实施）的相关要求相符性见表1-1。</w:t>
            </w:r>
          </w:p>
          <w:p>
            <w:pPr>
              <w:pStyle w:val="2"/>
              <w:spacing w:line="360" w:lineRule="auto"/>
            </w:pPr>
            <w:r>
              <w:t>表1-1  与《石油天然气开采业污染防治技术政策》相符性分析一览表</w:t>
            </w:r>
          </w:p>
          <w:tbl>
            <w:tblPr>
              <w:tblStyle w:val="14"/>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3285"/>
              <w:gridCol w:w="3528"/>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rPr>
                      <w:b/>
                      <w:bCs/>
                    </w:rPr>
                  </w:pPr>
                  <w:r>
                    <w:rPr>
                      <w:b/>
                      <w:bCs/>
                    </w:rPr>
                    <w:t>序号</w:t>
                  </w:r>
                </w:p>
              </w:tc>
              <w:tc>
                <w:tcPr>
                  <w:tcW w:w="2041" w:type="pct"/>
                  <w:vAlign w:val="center"/>
                </w:tcPr>
                <w:p>
                  <w:pPr>
                    <w:pStyle w:val="20"/>
                    <w:rPr>
                      <w:b/>
                      <w:bCs/>
                    </w:rPr>
                  </w:pPr>
                  <w:r>
                    <w:rPr>
                      <w:b/>
                      <w:bCs/>
                    </w:rPr>
                    <w:t>要求</w:t>
                  </w:r>
                </w:p>
              </w:tc>
              <w:tc>
                <w:tcPr>
                  <w:tcW w:w="2192" w:type="pct"/>
                  <w:vAlign w:val="center"/>
                </w:tcPr>
                <w:p>
                  <w:pPr>
                    <w:pStyle w:val="20"/>
                    <w:rPr>
                      <w:b/>
                      <w:bCs/>
                    </w:rPr>
                  </w:pPr>
                  <w:r>
                    <w:rPr>
                      <w:b/>
                      <w:bCs/>
                    </w:rPr>
                    <w:t>本项目</w:t>
                  </w:r>
                </w:p>
              </w:tc>
              <w:tc>
                <w:tcPr>
                  <w:tcW w:w="438" w:type="pct"/>
                  <w:vAlign w:val="center"/>
                </w:tcPr>
                <w:p>
                  <w:pPr>
                    <w:pStyle w:val="20"/>
                    <w:rPr>
                      <w:b/>
                      <w:bCs/>
                    </w:rPr>
                  </w:pPr>
                  <w:r>
                    <w:rPr>
                      <w:b/>
                      <w:bCs/>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1</w:t>
                  </w:r>
                </w:p>
              </w:tc>
              <w:tc>
                <w:tcPr>
                  <w:tcW w:w="2041" w:type="pct"/>
                  <w:vAlign w:val="center"/>
                </w:tcPr>
                <w:p>
                  <w:pPr>
                    <w:pStyle w:val="20"/>
                  </w:pPr>
                  <w:r>
                    <w:t>到2015年末，行业新、改、扩建项目均采用清洁生产工艺和技术，工业废水回用率达到90%以上，工业固体废物资源化及无害化处理处置率达到100%。要遏制重大、杜绝特别重大环境污染和生态破坏事故的发生。要逐步实现对行业排放的石油类污染物进行总量控制</w:t>
                  </w:r>
                  <w:r>
                    <w:rPr>
                      <w:rFonts w:hint="eastAsia"/>
                    </w:rPr>
                    <w:t>。</w:t>
                  </w:r>
                </w:p>
              </w:tc>
              <w:tc>
                <w:tcPr>
                  <w:tcW w:w="2192" w:type="pct"/>
                  <w:vAlign w:val="center"/>
                </w:tcPr>
                <w:p>
                  <w:pPr>
                    <w:pStyle w:val="20"/>
                  </w:pPr>
                  <w:r>
                    <w:t>项目钻井废水循环利用，试油期</w:t>
                  </w:r>
                  <w:r>
                    <w:rPr>
                      <w:rFonts w:hint="eastAsia"/>
                    </w:rPr>
                    <w:t>洗井</w:t>
                  </w:r>
                  <w:r>
                    <w:t>废水拉运至</w:t>
                  </w:r>
                  <w:r>
                    <w:rPr>
                      <w:rFonts w:hint="eastAsia"/>
                    </w:rPr>
                    <w:t>乌尔禾稀油处理站污水处理系统处理</w:t>
                  </w:r>
                  <w:r>
                    <w:t>后回注油藏，工业废水回用率大于90%；钻井</w:t>
                  </w:r>
                  <w:r>
                    <w:rPr>
                      <w:rFonts w:hint="eastAsia"/>
                    </w:rPr>
                    <w:t>液</w:t>
                  </w:r>
                  <w:r>
                    <w:t>经“钻井泥浆不落地技术”处理后循环使用，剩余钻井泥浆回收后用于后续钻井液配置</w:t>
                  </w:r>
                  <w:r>
                    <w:rPr>
                      <w:rFonts w:hint="eastAsia"/>
                    </w:rPr>
                    <w:t>，落</w:t>
                  </w:r>
                  <w:r>
                    <w:t>地油100%回收</w:t>
                  </w:r>
                  <w:r>
                    <w:rPr>
                      <w:rStyle w:val="17"/>
                      <w:rFonts w:hint="eastAsia"/>
                      <w:szCs w:val="24"/>
                    </w:rPr>
                    <w:t>；</w:t>
                  </w:r>
                  <w:r>
                    <w:rPr>
                      <w:rFonts w:hint="eastAsia"/>
                    </w:rPr>
                    <w:t>岩屑收集于岩屑储罐，委托有资质的单位处置。</w:t>
                  </w:r>
                  <w:r>
                    <w:t>本环评对项目可能产生的环境风险进行了分析，并提出了相应的风险防范措施和应急预案</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2</w:t>
                  </w:r>
                </w:p>
              </w:tc>
              <w:tc>
                <w:tcPr>
                  <w:tcW w:w="2041" w:type="pct"/>
                  <w:vAlign w:val="center"/>
                </w:tcPr>
                <w:p>
                  <w:pPr>
                    <w:pStyle w:val="20"/>
                  </w:pPr>
                  <w:r>
                    <w:t>油气田开发不得使用含有国际公约禁用化学物质的油气田化学剂，逐步淘汰微毒及以上油气田化学剂，鼓励使用无毒油气田化学剂</w:t>
                  </w:r>
                  <w:r>
                    <w:rPr>
                      <w:rFonts w:hint="eastAsia"/>
                    </w:rPr>
                    <w:t>。</w:t>
                  </w:r>
                </w:p>
              </w:tc>
              <w:tc>
                <w:tcPr>
                  <w:tcW w:w="2192" w:type="pct"/>
                  <w:vAlign w:val="center"/>
                </w:tcPr>
                <w:p>
                  <w:pPr>
                    <w:pStyle w:val="20"/>
                  </w:pPr>
                  <w:r>
                    <w:t>本项目使用的油气田化学剂均为无毒、环境友好的化学剂，无含有国际公约禁用化学物质的油气田化学剂</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3</w:t>
                  </w:r>
                </w:p>
              </w:tc>
              <w:tc>
                <w:tcPr>
                  <w:tcW w:w="2041" w:type="pct"/>
                  <w:vAlign w:val="center"/>
                </w:tcPr>
                <w:p>
                  <w:pPr>
                    <w:pStyle w:val="20"/>
                  </w:pPr>
                  <w:r>
                    <w:t>在勘探开发过程中，应防止产生落地原油。其中井下作业过程中应配备泄油器、刮油器等。落地原油应及时回收，落地原油回收率应达到100%</w:t>
                  </w:r>
                  <w:r>
                    <w:rPr>
                      <w:rFonts w:hint="eastAsia"/>
                    </w:rPr>
                    <w:t>。</w:t>
                  </w:r>
                </w:p>
              </w:tc>
              <w:tc>
                <w:tcPr>
                  <w:tcW w:w="2192" w:type="pct"/>
                  <w:vAlign w:val="center"/>
                </w:tcPr>
                <w:p>
                  <w:pPr>
                    <w:pStyle w:val="20"/>
                  </w:pPr>
                  <w:r>
                    <w:t>井下作业过程中配备了泄油器、刮油器等设备井下作业时带罐，落地油100%回收</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4</w:t>
                  </w:r>
                </w:p>
              </w:tc>
              <w:tc>
                <w:tcPr>
                  <w:tcW w:w="2041" w:type="pct"/>
                  <w:vAlign w:val="center"/>
                </w:tcPr>
                <w:p>
                  <w:pPr>
                    <w:pStyle w:val="20"/>
                  </w:pPr>
                  <w:r>
                    <w:t>在钻井过程中，鼓励采用环境友好的钻井液体系；配备完善的固控设备，钻井液循环率达到95%以上</w:t>
                  </w:r>
                  <w:r>
                    <w:rPr>
                      <w:rFonts w:hint="eastAsia"/>
                    </w:rPr>
                    <w:t>。</w:t>
                  </w:r>
                </w:p>
              </w:tc>
              <w:tc>
                <w:tcPr>
                  <w:tcW w:w="2192" w:type="pct"/>
                  <w:vAlign w:val="center"/>
                </w:tcPr>
                <w:p>
                  <w:pPr>
                    <w:pStyle w:val="20"/>
                  </w:pPr>
                  <w:r>
                    <w:t>钻井期使用水基泥浆；采用“钻井泥浆不落地技术”，钻井液循环使用，剩余钻井液回收后用于后续钻井液配置</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5</w:t>
                  </w:r>
                </w:p>
              </w:tc>
              <w:tc>
                <w:tcPr>
                  <w:tcW w:w="2041" w:type="pct"/>
                  <w:vAlign w:val="center"/>
                </w:tcPr>
                <w:p>
                  <w:pPr>
                    <w:pStyle w:val="20"/>
                  </w:pPr>
                  <w:r>
                    <w:t>在井下作业过程中，酸化液和压裂液宜集中配制，酸化残液、压裂残液和返排液应回收利用或进行无害化处置，压裂放喷返排入罐率应达到100%</w:t>
                  </w:r>
                  <w:r>
                    <w:rPr>
                      <w:rFonts w:hint="eastAsia"/>
                    </w:rPr>
                    <w:t>。</w:t>
                  </w:r>
                </w:p>
              </w:tc>
              <w:tc>
                <w:tcPr>
                  <w:tcW w:w="2192" w:type="pct"/>
                  <w:vAlign w:val="center"/>
                </w:tcPr>
                <w:p>
                  <w:pPr>
                    <w:pStyle w:val="20"/>
                  </w:pPr>
                  <w:r>
                    <w:t>本项目井下作业过程中，带罐作业，废水100%回收</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6</w:t>
                  </w:r>
                </w:p>
              </w:tc>
              <w:tc>
                <w:tcPr>
                  <w:tcW w:w="2041" w:type="pct"/>
                  <w:vAlign w:val="center"/>
                </w:tcPr>
                <w:p>
                  <w:pPr>
                    <w:pStyle w:val="20"/>
                  </w:pPr>
                  <w:r>
                    <w:t>在钻井和井下作业过程中，鼓励污油、污水进入生产流程循环利用</w:t>
                  </w:r>
                  <w:r>
                    <w:rPr>
                      <w:rFonts w:hint="eastAsia"/>
                    </w:rPr>
                    <w:t>。</w:t>
                  </w:r>
                </w:p>
              </w:tc>
              <w:tc>
                <w:tcPr>
                  <w:tcW w:w="2192" w:type="pct"/>
                  <w:vAlign w:val="center"/>
                </w:tcPr>
                <w:p>
                  <w:pPr>
                    <w:pStyle w:val="20"/>
                  </w:pPr>
                  <w:r>
                    <w:t>剩余钻井液回收后用于后续钻井液配置，试油期</w:t>
                  </w:r>
                  <w:r>
                    <w:rPr>
                      <w:rFonts w:hint="eastAsia"/>
                    </w:rPr>
                    <w:t>洗井废水</w:t>
                  </w:r>
                  <w:r>
                    <w:t>拉运至</w:t>
                  </w:r>
                  <w:r>
                    <w:rPr>
                      <w:rFonts w:hint="eastAsia"/>
                    </w:rPr>
                    <w:t>乌尔禾稀油处理站污水处理系统处理。</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7</w:t>
                  </w:r>
                </w:p>
              </w:tc>
              <w:tc>
                <w:tcPr>
                  <w:tcW w:w="2041" w:type="pct"/>
                  <w:vAlign w:val="center"/>
                </w:tcPr>
                <w:p>
                  <w:pPr>
                    <w:pStyle w:val="20"/>
                  </w:pPr>
                  <w:r>
                    <w:t>应回收落地原油，以及原油处理、废水处理产生的油泥（砂）等中的油类物质，含油污泥资源化利用率应达到90%以上，残余固体废物应按照《国家危险废物名录》和危险废物鉴别标准识别，根据识别结果资源化利用或无害化处置</w:t>
                  </w:r>
                  <w:r>
                    <w:rPr>
                      <w:rFonts w:hint="eastAsia"/>
                    </w:rPr>
                    <w:t>。</w:t>
                  </w:r>
                </w:p>
              </w:tc>
              <w:tc>
                <w:tcPr>
                  <w:tcW w:w="2192" w:type="pct"/>
                  <w:vAlign w:val="center"/>
                </w:tcPr>
                <w:p>
                  <w:pPr>
                    <w:pStyle w:val="20"/>
                  </w:pPr>
                  <w:r>
                    <w:t>将落地油100%进行回收，交由有相应危险废物处理资质的单位处置</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8</w:t>
                  </w:r>
                </w:p>
              </w:tc>
              <w:tc>
                <w:tcPr>
                  <w:tcW w:w="2041" w:type="pct"/>
                  <w:vAlign w:val="center"/>
                </w:tcPr>
                <w:p>
                  <w:pPr>
                    <w:pStyle w:val="20"/>
                  </w:pPr>
                  <w:r>
                    <w:t>油气田企业应制定环境保护管理规定，建立并运行健康、安全与环境管理体系</w:t>
                  </w:r>
                  <w:r>
                    <w:rPr>
                      <w:rFonts w:hint="eastAsia"/>
                    </w:rPr>
                    <w:t>。</w:t>
                  </w:r>
                </w:p>
              </w:tc>
              <w:tc>
                <w:tcPr>
                  <w:tcW w:w="2192" w:type="pct"/>
                  <w:vAlign w:val="center"/>
                </w:tcPr>
                <w:p>
                  <w:pPr>
                    <w:pStyle w:val="20"/>
                  </w:pPr>
                  <w:r>
                    <w:t>建有健康、安全与环境管理体系（QHSE管理体系）</w:t>
                  </w:r>
                  <w:r>
                    <w:rPr>
                      <w:rFonts w:hint="eastAsia"/>
                    </w:rPr>
                    <w:t>。</w:t>
                  </w:r>
                </w:p>
              </w:tc>
              <w:tc>
                <w:tcPr>
                  <w:tcW w:w="438"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vAlign w:val="center"/>
                </w:tcPr>
                <w:p>
                  <w:pPr>
                    <w:pStyle w:val="20"/>
                  </w:pPr>
                  <w:r>
                    <w:t>9</w:t>
                  </w:r>
                </w:p>
              </w:tc>
              <w:tc>
                <w:tcPr>
                  <w:tcW w:w="2041" w:type="pct"/>
                  <w:vAlign w:val="center"/>
                </w:tcPr>
                <w:p>
                  <w:pPr>
                    <w:pStyle w:val="20"/>
                  </w:pPr>
                  <w:r>
                    <w:t>加强油气田建设、勘探开发过程的环境监督管理。油气田建设过程应开展工程环境监理</w:t>
                  </w:r>
                  <w:r>
                    <w:rPr>
                      <w:rFonts w:hint="eastAsia"/>
                    </w:rPr>
                    <w:t>。</w:t>
                  </w:r>
                </w:p>
              </w:tc>
              <w:tc>
                <w:tcPr>
                  <w:tcW w:w="2192" w:type="pct"/>
                  <w:vAlign w:val="center"/>
                </w:tcPr>
                <w:p>
                  <w:pPr>
                    <w:pStyle w:val="20"/>
                  </w:pPr>
                  <w:r>
                    <w:t>环评要求项目开展工程环境监理，并拟定了环境监理计划</w:t>
                  </w:r>
                  <w:r>
                    <w:rPr>
                      <w:rFonts w:hint="eastAsia"/>
                    </w:rPr>
                    <w:t>。</w:t>
                  </w:r>
                </w:p>
              </w:tc>
              <w:tc>
                <w:tcPr>
                  <w:tcW w:w="438" w:type="pct"/>
                  <w:vAlign w:val="center"/>
                </w:tcPr>
                <w:p>
                  <w:pPr>
                    <w:pStyle w:val="20"/>
                  </w:pPr>
                  <w:r>
                    <w:t>符合</w:t>
                  </w:r>
                </w:p>
              </w:tc>
            </w:tr>
          </w:tbl>
          <w:p>
            <w:pPr>
              <w:pStyle w:val="19"/>
            </w:pPr>
            <w:r>
              <w:t>1.3 与《新疆维吾尔自治区煤炭石油天然气开发环境保护条例》符合性分析</w:t>
            </w:r>
          </w:p>
          <w:p>
            <w:pPr>
              <w:ind w:firstLine="480"/>
            </w:pPr>
            <w:r>
              <w:t>本项目与《新疆维吾尔自治区煤炭石油天然气开发环境保护条例》（2015年3月1日起施行，2018年修订）相符性见表1-2。</w:t>
            </w:r>
          </w:p>
          <w:p>
            <w:pPr>
              <w:pStyle w:val="2"/>
              <w:spacing w:line="360" w:lineRule="auto"/>
            </w:pPr>
            <w:r>
              <w:t xml:space="preserve">表1-2 </w:t>
            </w:r>
            <w:r>
              <w:rPr>
                <w:rFonts w:hint="eastAsia"/>
              </w:rPr>
              <w:t xml:space="preserve"> </w:t>
            </w:r>
            <w:r>
              <w:t>与《新疆维吾尔自治区煤炭石油天然气开发环境保护条例》相符性分析一览表</w:t>
            </w:r>
          </w:p>
          <w:tbl>
            <w:tblPr>
              <w:tblStyle w:val="14"/>
              <w:tblW w:w="4992"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28"/>
              <w:gridCol w:w="3490"/>
              <w:gridCol w:w="3102"/>
              <w:gridCol w:w="82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rPr>
                      <w:b/>
                      <w:bCs/>
                    </w:rPr>
                  </w:pPr>
                  <w:r>
                    <w:rPr>
                      <w:b/>
                      <w:bCs/>
                    </w:rPr>
                    <w:t>序号</w:t>
                  </w:r>
                </w:p>
              </w:tc>
              <w:tc>
                <w:tcPr>
                  <w:tcW w:w="2167" w:type="pct"/>
                  <w:vAlign w:val="center"/>
                </w:tcPr>
                <w:p>
                  <w:pPr>
                    <w:pStyle w:val="20"/>
                    <w:rPr>
                      <w:b/>
                      <w:bCs/>
                    </w:rPr>
                  </w:pPr>
                  <w:r>
                    <w:rPr>
                      <w:b/>
                      <w:bCs/>
                    </w:rPr>
                    <w:t>要求</w:t>
                  </w:r>
                </w:p>
              </w:tc>
              <w:tc>
                <w:tcPr>
                  <w:tcW w:w="1926" w:type="pct"/>
                  <w:vAlign w:val="center"/>
                </w:tcPr>
                <w:p>
                  <w:pPr>
                    <w:pStyle w:val="20"/>
                    <w:rPr>
                      <w:b/>
                      <w:bCs/>
                    </w:rPr>
                  </w:pPr>
                  <w:r>
                    <w:rPr>
                      <w:b/>
                      <w:bCs/>
                    </w:rPr>
                    <w:t>本项目</w:t>
                  </w:r>
                </w:p>
              </w:tc>
              <w:tc>
                <w:tcPr>
                  <w:tcW w:w="515" w:type="pct"/>
                  <w:vAlign w:val="center"/>
                </w:tcPr>
                <w:p>
                  <w:pPr>
                    <w:pStyle w:val="20"/>
                    <w:rPr>
                      <w:b/>
                      <w:bCs/>
                    </w:rPr>
                  </w:pPr>
                  <w:r>
                    <w:rPr>
                      <w:b/>
                      <w:bCs/>
                    </w:rPr>
                    <w:t>相符性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1</w:t>
                  </w:r>
                </w:p>
              </w:tc>
              <w:tc>
                <w:tcPr>
                  <w:tcW w:w="2167" w:type="pct"/>
                  <w:vAlign w:val="center"/>
                </w:tcPr>
                <w:p>
                  <w:pPr>
                    <w:pStyle w:val="20"/>
                  </w:pPr>
                  <w:r>
                    <w:t>禁止在水源涵养区、地下水源、饮用水源、自然保护区、风景名胜区、森林公园、重要湿地及人群密集区等生态敏感区域内进行煤炭、石油、天然气开发。</w:t>
                  </w:r>
                </w:p>
              </w:tc>
              <w:tc>
                <w:tcPr>
                  <w:tcW w:w="1926" w:type="pct"/>
                  <w:vAlign w:val="center"/>
                </w:tcPr>
                <w:p>
                  <w:pPr>
                    <w:pStyle w:val="20"/>
                  </w:pPr>
                  <w:r>
                    <w:t>项目所在区域不属于水源涵养区、地下水源、饮用水源、自然保护区、风景名胜区、森林公园、重要湿地及人群密集区等生态敏感区域。</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2</w:t>
                  </w:r>
                </w:p>
              </w:tc>
              <w:tc>
                <w:tcPr>
                  <w:tcW w:w="2167" w:type="pct"/>
                  <w:vAlign w:val="center"/>
                </w:tcPr>
                <w:p>
                  <w:pPr>
                    <w:pStyle w:val="20"/>
                  </w:pPr>
                  <w:r>
                    <w:t>煤炭、石油、天然气开发项目实行环境监理，其大气、水体、固体废物等污染防治设施与主体工程同时设计、同时施工、同时投产使用。</w:t>
                  </w:r>
                </w:p>
              </w:tc>
              <w:tc>
                <w:tcPr>
                  <w:tcW w:w="1926" w:type="pct"/>
                  <w:vAlign w:val="center"/>
                </w:tcPr>
                <w:p>
                  <w:pPr>
                    <w:pStyle w:val="20"/>
                  </w:pPr>
                  <w:r>
                    <w:t>环评要求项目开展工程环境监理，并拟定了环境监理计划，要求项目严格执行“三同时”制度。</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3</w:t>
                  </w:r>
                </w:p>
              </w:tc>
              <w:tc>
                <w:tcPr>
                  <w:tcW w:w="2167" w:type="pct"/>
                  <w:vAlign w:val="center"/>
                </w:tcPr>
                <w:p>
                  <w:pPr>
                    <w:pStyle w:val="20"/>
                  </w:pPr>
                  <w:r>
                    <w:t>石油开发单位应当建设清洁井场，做到场地平整、清洁卫生，在井场内实施无污染作业，并根据需要在井场四周设置符合规定的挡水墙、雨水出口和防洪渠道。散落油和油水混合液等含油污染物应当回收处理，不得掩埋</w:t>
                  </w:r>
                  <w:r>
                    <w:rPr>
                      <w:rFonts w:hint="eastAsia"/>
                    </w:rPr>
                    <w:t>。</w:t>
                  </w:r>
                </w:p>
              </w:tc>
              <w:tc>
                <w:tcPr>
                  <w:tcW w:w="1926" w:type="pct"/>
                  <w:vAlign w:val="center"/>
                </w:tcPr>
                <w:p>
                  <w:pPr>
                    <w:pStyle w:val="20"/>
                  </w:pPr>
                  <w:r>
                    <w:t>严格落实中石油QHSE管理措施，平整井场；项目区属于大陆性干旱气候，降水量远小于蒸发量，未设置挡水墙、防洪渠道。</w:t>
                  </w:r>
                </w:p>
                <w:p>
                  <w:pPr>
                    <w:pStyle w:val="20"/>
                  </w:pPr>
                  <w:r>
                    <w:t>事故状态下产生的落地油集中收集后交由有相应处理资质的单位进行回收、处置。</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4</w:t>
                  </w:r>
                </w:p>
              </w:tc>
              <w:tc>
                <w:tcPr>
                  <w:tcW w:w="2167" w:type="pct"/>
                  <w:vAlign w:val="center"/>
                </w:tcPr>
                <w:p>
                  <w:pPr>
                    <w:pStyle w:val="20"/>
                  </w:pPr>
                  <w:r>
                    <w:t>煤炭、石油、天然气开发单位应当制定生态保护和恢复治理方案，并予以实施。生态保护和恢复治理方案内容应当向社会公布，接受社会监督。</w:t>
                  </w:r>
                </w:p>
              </w:tc>
              <w:tc>
                <w:tcPr>
                  <w:tcW w:w="1926" w:type="pct"/>
                  <w:vAlign w:val="center"/>
                </w:tcPr>
                <w:p>
                  <w:pPr>
                    <w:pStyle w:val="20"/>
                  </w:pPr>
                  <w:r>
                    <w:t>环评要求建设单位制定生态保护和恢复治理方案，开展生态环境恢复治理工作。</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5</w:t>
                  </w:r>
                </w:p>
              </w:tc>
              <w:tc>
                <w:tcPr>
                  <w:tcW w:w="2167" w:type="pct"/>
                  <w:vAlign w:val="center"/>
                </w:tcPr>
                <w:p>
                  <w:pPr>
                    <w:pStyle w:val="20"/>
                  </w:pPr>
                  <w:r>
                    <w:t>煤炭、石油、天然气开发单位应当使用先进技术、工艺和设备，实行清洁生产。禁止使用国家和自治区明令淘汰的技术、工艺和设备。</w:t>
                  </w:r>
                </w:p>
              </w:tc>
              <w:tc>
                <w:tcPr>
                  <w:tcW w:w="1926" w:type="pct"/>
                  <w:vAlign w:val="center"/>
                </w:tcPr>
                <w:p>
                  <w:pPr>
                    <w:pStyle w:val="20"/>
                  </w:pPr>
                  <w:r>
                    <w:t>项目使用先进技术、工艺和设备，实行清洁生产。未使用国家和自治区明令淘汰的技术、工艺和设备，较好地考虑了清洁生产的要求，属于清洁生产先进企业。</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6</w:t>
                  </w:r>
                </w:p>
              </w:tc>
              <w:tc>
                <w:tcPr>
                  <w:tcW w:w="2167" w:type="pct"/>
                  <w:vAlign w:val="center"/>
                </w:tcPr>
                <w:p>
                  <w:pPr>
                    <w:pStyle w:val="20"/>
                  </w:pPr>
                  <w:r>
                    <w:t>石油、天然气开发单位钻井和井下作业应当使用无毒、低毒钻井液。对已使用的有毒钻井液应当回收利用并做无害化处置，防止污染环境。对钻井作业产生的污水应当进行回收，经处理达标后方可回注。未经处理达标的污水不得回注或者外排。对钻井作业产生的污油、废矿物油应当回收处理。</w:t>
                  </w:r>
                </w:p>
              </w:tc>
              <w:tc>
                <w:tcPr>
                  <w:tcW w:w="1926" w:type="pct"/>
                  <w:vAlign w:val="center"/>
                </w:tcPr>
                <w:p>
                  <w:pPr>
                    <w:pStyle w:val="20"/>
                  </w:pPr>
                  <w:r>
                    <w:t>①本项目钻井期使用的泥浆为环保水基泥浆，未添加磺化物，为环境友好的钻井液；②本项目无钻井废水外排，</w:t>
                  </w:r>
                  <w:r>
                    <w:rPr>
                      <w:rFonts w:hint="eastAsia"/>
                    </w:rPr>
                    <w:t>洗井废水</w:t>
                  </w:r>
                  <w:r>
                    <w:t>拉运至</w:t>
                  </w:r>
                  <w:r>
                    <w:rPr>
                      <w:rFonts w:hint="eastAsia"/>
                    </w:rPr>
                    <w:t>乌尔禾稀油处理站污水处理系统处理</w:t>
                  </w:r>
                  <w:r>
                    <w:t>后回注油藏；③落地油100%回收，定期交由有相应危险废物处理资质的单位处置。</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7</w:t>
                  </w:r>
                </w:p>
              </w:tc>
              <w:tc>
                <w:tcPr>
                  <w:tcW w:w="2167" w:type="pct"/>
                  <w:vAlign w:val="center"/>
                </w:tcPr>
                <w:p>
                  <w:pPr>
                    <w:pStyle w:val="20"/>
                  </w:pPr>
                  <w:r>
                    <w:t>石油、天然气开发单位应当采取保护性措施，防止油井套管破损、气井泄漏，污染地下水体。</w:t>
                  </w:r>
                </w:p>
              </w:tc>
              <w:tc>
                <w:tcPr>
                  <w:tcW w:w="1926" w:type="pct"/>
                  <w:vAlign w:val="center"/>
                </w:tcPr>
                <w:p>
                  <w:pPr>
                    <w:pStyle w:val="20"/>
                  </w:pPr>
                  <w:r>
                    <w:t>本项目采用下套管注水泥固井完井方式进行水泥固井，保证表层套管封固质量完好；按设计规定实施，确保施工质量；同时严格要求套管下入深度等措施，可以有效控制钻井液在含水层中的漏失，并防止油气泄漏污染地下水。</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390" w:type="pct"/>
                  <w:vAlign w:val="center"/>
                </w:tcPr>
                <w:p>
                  <w:pPr>
                    <w:pStyle w:val="20"/>
                  </w:pPr>
                  <w:r>
                    <w:t>8</w:t>
                  </w:r>
                </w:p>
              </w:tc>
              <w:tc>
                <w:tcPr>
                  <w:tcW w:w="2167" w:type="pct"/>
                  <w:vAlign w:val="center"/>
                </w:tcPr>
                <w:p>
                  <w:pPr>
                    <w:pStyle w:val="20"/>
                  </w:pPr>
                  <w:r>
                    <w:t>煤炭、石油、天然气开发单位实施下列活动的，应当恢复地表形态和植被：</w:t>
                  </w:r>
                </w:p>
                <w:p>
                  <w:pPr>
                    <w:pStyle w:val="20"/>
                  </w:pPr>
                  <w:r>
                    <w:t>（一）建设工程临时占地破坏腐殖质层、剥离土石的；（二）震裂、压占等造成土地破坏的；（三）占用土地作为临时道路的；（四）油气井、站、中转站、联合站等地面装置设施关闭或者废弃的。</w:t>
                  </w:r>
                </w:p>
              </w:tc>
              <w:tc>
                <w:tcPr>
                  <w:tcW w:w="1926" w:type="pct"/>
                  <w:vAlign w:val="center"/>
                </w:tcPr>
                <w:p>
                  <w:pPr>
                    <w:pStyle w:val="20"/>
                  </w:pPr>
                  <w:r>
                    <w:t>环评要求钻井结束后，应对临时占地内的土地进行平整，自然恢复原有地貌，充分利用前期收集的表土覆盖于井场表层，临时占地范围不具备植被恢复条件的，应采用砾石等材料覆盖临时占地面积，以防止侵蚀加剧。</w:t>
                  </w:r>
                </w:p>
              </w:tc>
              <w:tc>
                <w:tcPr>
                  <w:tcW w:w="515" w:type="pct"/>
                  <w:vAlign w:val="center"/>
                </w:tcPr>
                <w:p>
                  <w:pPr>
                    <w:pStyle w:val="20"/>
                  </w:pPr>
                  <w: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90" w:type="pct"/>
                  <w:vAlign w:val="center"/>
                </w:tcPr>
                <w:p>
                  <w:pPr>
                    <w:pStyle w:val="20"/>
                  </w:pPr>
                  <w:r>
                    <w:rPr>
                      <w:rFonts w:hint="eastAsia"/>
                    </w:rPr>
                    <w:t>9</w:t>
                  </w:r>
                </w:p>
              </w:tc>
              <w:tc>
                <w:tcPr>
                  <w:tcW w:w="2167" w:type="pct"/>
                  <w:vAlign w:val="center"/>
                </w:tcPr>
                <w:p>
                  <w:pPr>
                    <w:pStyle w:val="20"/>
                  </w:pPr>
                  <w:r>
                    <w:t>煤炭、石油、天然气开发单位应当加强危险废物的管理。危险废物的收集、贮存、运输、处置，必须符合国家和自治区有关规定；不具备处置、利用条件的，应当送交有资质的单位处置。</w:t>
                  </w:r>
                </w:p>
              </w:tc>
              <w:tc>
                <w:tcPr>
                  <w:tcW w:w="1926" w:type="pct"/>
                  <w:vAlign w:val="center"/>
                </w:tcPr>
                <w:p>
                  <w:pPr>
                    <w:pStyle w:val="20"/>
                  </w:pPr>
                  <w:r>
                    <w:t>本环评提出危险废物管理及运输等环节要求，详见第五节固废污染防治措施。</w:t>
                  </w:r>
                </w:p>
              </w:tc>
              <w:tc>
                <w:tcPr>
                  <w:tcW w:w="515" w:type="pct"/>
                  <w:vAlign w:val="center"/>
                </w:tcPr>
                <w:p>
                  <w:pPr>
                    <w:pStyle w:val="20"/>
                  </w:pPr>
                  <w:r>
                    <w:rPr>
                      <w:rFonts w:hint="eastAsia"/>
                    </w:rPr>
                    <w:t>符合</w:t>
                  </w:r>
                </w:p>
              </w:tc>
            </w:tr>
          </w:tbl>
          <w:p>
            <w:pPr>
              <w:pStyle w:val="19"/>
            </w:pPr>
            <w:r>
              <w:t>1.4 与《关于进一步加强石油天然气行业环境影响评价管理的通知》（环办环评函</w:t>
            </w:r>
            <w:r>
              <w:rPr>
                <w:rFonts w:hint="eastAsia"/>
              </w:rPr>
              <w:t>〔</w:t>
            </w:r>
            <w:r>
              <w:t>2019</w:t>
            </w:r>
            <w:r>
              <w:rPr>
                <w:rFonts w:hint="eastAsia"/>
              </w:rPr>
              <w:t>〕</w:t>
            </w:r>
            <w:r>
              <w:t>910号）的符合性分析</w:t>
            </w:r>
          </w:p>
          <w:p>
            <w:pPr>
              <w:ind w:firstLine="480"/>
            </w:pPr>
            <w:r>
              <w:t>本项目与《关于进一步加强石油天然气行业环境影响评价管理的通知》（环办环评函</w:t>
            </w:r>
            <w:r>
              <w:rPr>
                <w:rFonts w:hint="eastAsia"/>
                <w:bCs/>
              </w:rPr>
              <w:t>〔</w:t>
            </w:r>
            <w:r>
              <w:t>2019</w:t>
            </w:r>
            <w:r>
              <w:rPr>
                <w:rFonts w:hint="eastAsia"/>
                <w:bCs/>
              </w:rPr>
              <w:t>〕</w:t>
            </w:r>
            <w:r>
              <w:t>910号</w:t>
            </w:r>
            <w:r>
              <w:rPr>
                <w:lang w:val="en"/>
              </w:rPr>
              <w:t>，2019年12月13日</w:t>
            </w:r>
            <w:r>
              <w:t>）相符性见表1-3。</w:t>
            </w:r>
          </w:p>
          <w:p>
            <w:pPr>
              <w:pStyle w:val="2"/>
              <w:spacing w:line="360" w:lineRule="auto"/>
            </w:pPr>
            <w:r>
              <w:t>表1-3  与进一步加强石油天然气行业环境影响评价管理相符性分析一览表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3710"/>
              <w:gridCol w:w="2882"/>
              <w:gridCol w:w="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392" w:type="pct"/>
                  <w:tcBorders>
                    <w:top w:val="single" w:color="auto" w:sz="4" w:space="0"/>
                    <w:bottom w:val="single" w:color="auto" w:sz="4" w:space="0"/>
                    <w:right w:val="single" w:color="auto" w:sz="4" w:space="0"/>
                  </w:tcBorders>
                  <w:vAlign w:val="center"/>
                </w:tcPr>
                <w:p>
                  <w:pPr>
                    <w:pStyle w:val="20"/>
                    <w:rPr>
                      <w:b/>
                      <w:bCs/>
                    </w:rPr>
                  </w:pPr>
                  <w:r>
                    <w:rPr>
                      <w:b/>
                      <w:bCs/>
                    </w:rPr>
                    <w:t>序号</w:t>
                  </w:r>
                </w:p>
              </w:tc>
              <w:tc>
                <w:tcPr>
                  <w:tcW w:w="2302"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要求</w:t>
                  </w:r>
                </w:p>
              </w:tc>
              <w:tc>
                <w:tcPr>
                  <w:tcW w:w="1788"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本项目</w:t>
                  </w:r>
                </w:p>
              </w:tc>
              <w:tc>
                <w:tcPr>
                  <w:tcW w:w="515"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392" w:type="pct"/>
                  <w:tcBorders>
                    <w:top w:val="single" w:color="auto" w:sz="4" w:space="0"/>
                    <w:left w:val="single" w:color="auto" w:sz="4" w:space="0"/>
                    <w:bottom w:val="single" w:color="auto" w:sz="4" w:space="0"/>
                    <w:right w:val="single" w:color="auto" w:sz="4" w:space="0"/>
                  </w:tcBorders>
                  <w:vAlign w:val="center"/>
                </w:tcPr>
                <w:p>
                  <w:pPr>
                    <w:pStyle w:val="20"/>
                  </w:pPr>
                  <w:r>
                    <w:t>1</w:t>
                  </w:r>
                </w:p>
              </w:tc>
              <w:tc>
                <w:tcPr>
                  <w:tcW w:w="2302" w:type="pct"/>
                  <w:tcBorders>
                    <w:top w:val="single" w:color="auto" w:sz="4" w:space="0"/>
                    <w:left w:val="single" w:color="auto" w:sz="4" w:space="0"/>
                    <w:bottom w:val="single" w:color="auto" w:sz="4" w:space="0"/>
                    <w:right w:val="single" w:color="auto" w:sz="4" w:space="0"/>
                  </w:tcBorders>
                  <w:vAlign w:val="center"/>
                </w:tcPr>
                <w:p>
                  <w:pPr>
                    <w:pStyle w:val="20"/>
                  </w:pPr>
                  <w:r>
                    <w:t>项目环评应当深入评价项目建设、运营带来的环境影响和环境风险，提出有效的生态环境保护和环境风险防范措施。</w:t>
                  </w:r>
                </w:p>
              </w:tc>
              <w:tc>
                <w:tcPr>
                  <w:tcW w:w="1788" w:type="pct"/>
                  <w:tcBorders>
                    <w:top w:val="single" w:color="auto" w:sz="4" w:space="0"/>
                    <w:left w:val="single" w:color="auto" w:sz="4" w:space="0"/>
                    <w:bottom w:val="single" w:color="auto" w:sz="4" w:space="0"/>
                    <w:right w:val="single" w:color="auto" w:sz="4" w:space="0"/>
                  </w:tcBorders>
                  <w:vAlign w:val="center"/>
                </w:tcPr>
                <w:p>
                  <w:pPr>
                    <w:pStyle w:val="20"/>
                  </w:pPr>
                  <w:r>
                    <w:t>项目施工期的环境影响及风险评价详见后文“生态环境影响分析”章节。</w:t>
                  </w:r>
                </w:p>
              </w:tc>
              <w:tc>
                <w:tcPr>
                  <w:tcW w:w="515" w:type="pct"/>
                  <w:tcBorders>
                    <w:top w:val="single" w:color="auto" w:sz="4" w:space="0"/>
                    <w:left w:val="single" w:color="auto" w:sz="4" w:space="0"/>
                    <w:bottom w:val="single" w:color="auto" w:sz="4" w:space="0"/>
                    <w:right w:val="single" w:color="auto" w:sz="4" w:space="0"/>
                  </w:tcBorders>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392" w:type="pct"/>
                  <w:tcBorders>
                    <w:top w:val="single" w:color="auto" w:sz="4" w:space="0"/>
                  </w:tcBorders>
                  <w:vAlign w:val="center"/>
                </w:tcPr>
                <w:p>
                  <w:pPr>
                    <w:pStyle w:val="20"/>
                  </w:pPr>
                  <w:r>
                    <w:t>2</w:t>
                  </w:r>
                </w:p>
              </w:tc>
              <w:tc>
                <w:tcPr>
                  <w:tcW w:w="2302" w:type="pct"/>
                  <w:tcBorders>
                    <w:top w:val="single" w:color="auto" w:sz="4" w:space="0"/>
                  </w:tcBorders>
                  <w:vAlign w:val="center"/>
                </w:tcPr>
                <w:p>
                  <w:pPr>
                    <w:pStyle w:val="20"/>
                  </w:pPr>
                  <w:r>
                    <w:t>钻井和压裂设备应当优先使用网电、高标准清洁燃油，减少废气排放。选用低噪声设备，避免噪声扰民。施工结束后，应当及时落实环评提出的生态保护措施。</w:t>
                  </w:r>
                </w:p>
              </w:tc>
              <w:tc>
                <w:tcPr>
                  <w:tcW w:w="1788" w:type="pct"/>
                  <w:tcBorders>
                    <w:top w:val="single" w:color="auto" w:sz="4" w:space="0"/>
                  </w:tcBorders>
                  <w:vAlign w:val="center"/>
                </w:tcPr>
                <w:p>
                  <w:pPr>
                    <w:pStyle w:val="20"/>
                  </w:pPr>
                  <w:r>
                    <w:t>本项目钻井期动力设备采用清洁柴油，选用低噪声设备，降低对周边声环境影响。施工结束后，按照环境影响评价及其批复要求落实生态恢复措施。</w:t>
                  </w:r>
                </w:p>
              </w:tc>
              <w:tc>
                <w:tcPr>
                  <w:tcW w:w="515" w:type="pct"/>
                  <w:tcBorders>
                    <w:top w:val="single" w:color="auto" w:sz="4" w:space="0"/>
                  </w:tcBorders>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392" w:type="pct"/>
                  <w:vAlign w:val="center"/>
                </w:tcPr>
                <w:p>
                  <w:pPr>
                    <w:pStyle w:val="20"/>
                  </w:pPr>
                  <w:r>
                    <w:t>3</w:t>
                  </w:r>
                </w:p>
              </w:tc>
              <w:tc>
                <w:tcPr>
                  <w:tcW w:w="2302" w:type="pct"/>
                  <w:vAlign w:val="center"/>
                </w:tcPr>
                <w:p>
                  <w:pPr>
                    <w:pStyle w:val="20"/>
                  </w:pPr>
                  <w:r>
                    <w:t>依托其他防治设施的或者委托第三方处置的，应当论证其可行性和有效性。</w:t>
                  </w:r>
                </w:p>
              </w:tc>
              <w:tc>
                <w:tcPr>
                  <w:tcW w:w="1788" w:type="pct"/>
                  <w:vAlign w:val="center"/>
                </w:tcPr>
                <w:p>
                  <w:pPr>
                    <w:pStyle w:val="20"/>
                  </w:pPr>
                  <w:r>
                    <w:t>本项目试油期</w:t>
                  </w:r>
                  <w:r>
                    <w:rPr>
                      <w:rFonts w:hint="eastAsia"/>
                    </w:rPr>
                    <w:t>洗井废水</w:t>
                  </w:r>
                  <w:r>
                    <w:t>依托</w:t>
                  </w:r>
                  <w:r>
                    <w:rPr>
                      <w:rFonts w:hint="eastAsia"/>
                    </w:rPr>
                    <w:t>乌尔禾稀油处理站污水处理系统处理</w:t>
                  </w:r>
                  <w:r>
                    <w:t>；</w:t>
                  </w:r>
                  <w:r>
                    <w:rPr>
                      <w:rFonts w:hint="eastAsia"/>
                    </w:rPr>
                    <w:t>生活污水排至生活营地临时生活污水储集防渗池定期清运至乌尔禾区污水处理厂处理，</w:t>
                  </w:r>
                  <w:r>
                    <w:t>依托工程及其可行性分析详见第二节建设内容。</w:t>
                  </w:r>
                </w:p>
              </w:tc>
              <w:tc>
                <w:tcPr>
                  <w:tcW w:w="515"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392" w:type="pct"/>
                  <w:vAlign w:val="center"/>
                </w:tcPr>
                <w:p>
                  <w:pPr>
                    <w:pStyle w:val="20"/>
                  </w:pPr>
                  <w:r>
                    <w:t>4</w:t>
                  </w:r>
                </w:p>
              </w:tc>
              <w:tc>
                <w:tcPr>
                  <w:tcW w:w="2302" w:type="pct"/>
                  <w:vAlign w:val="center"/>
                </w:tcPr>
                <w:p>
                  <w:pPr>
                    <w:pStyle w:val="20"/>
                  </w:pPr>
                  <w:r>
                    <w:t>涉及废水回注的，应当论证回注的环境可行性，采取切实可行的地下水污染防治和监控措施，不得回注与油气开采无关的废水，严禁造成地下水污染。</w:t>
                  </w:r>
                </w:p>
              </w:tc>
              <w:tc>
                <w:tcPr>
                  <w:tcW w:w="1788" w:type="pct"/>
                  <w:vAlign w:val="center"/>
                </w:tcPr>
                <w:p>
                  <w:pPr>
                    <w:pStyle w:val="20"/>
                  </w:pPr>
                  <w:r>
                    <w:t>本项目</w:t>
                  </w:r>
                  <w:r>
                    <w:rPr>
                      <w:rFonts w:hint="eastAsia"/>
                    </w:rPr>
                    <w:t>洗井废水</w:t>
                  </w:r>
                  <w:r>
                    <w:t>拉运至</w:t>
                  </w:r>
                  <w:r>
                    <w:rPr>
                      <w:rFonts w:hint="eastAsia"/>
                    </w:rPr>
                    <w:t>乌尔禾稀油处理站污水处理系统处理</w:t>
                  </w:r>
                  <w:r>
                    <w:t>后回注油藏。采取了地下水污染防治和监控措施，防止造成地下水污染，详见报告环保措施章节。</w:t>
                  </w:r>
                </w:p>
              </w:tc>
              <w:tc>
                <w:tcPr>
                  <w:tcW w:w="515"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392" w:type="pct"/>
                  <w:vAlign w:val="center"/>
                </w:tcPr>
                <w:p>
                  <w:pPr>
                    <w:pStyle w:val="20"/>
                  </w:pPr>
                  <w:r>
                    <w:t>5</w:t>
                  </w:r>
                </w:p>
              </w:tc>
              <w:tc>
                <w:tcPr>
                  <w:tcW w:w="2302" w:type="pct"/>
                  <w:vAlign w:val="center"/>
                </w:tcPr>
                <w:p>
                  <w:pPr>
                    <w:pStyle w:val="20"/>
                  </w:pPr>
                  <w:r>
                    <w:t>油气开采产生的废弃油基泥浆、含油钻屑及其他固体废物，应当遵循减量化、资源化、无害化原则，按照国家和地方有关固体废物的管理规定进行处置。</w:t>
                  </w:r>
                </w:p>
              </w:tc>
              <w:tc>
                <w:tcPr>
                  <w:tcW w:w="1788" w:type="pct"/>
                  <w:vAlign w:val="center"/>
                </w:tcPr>
                <w:p>
                  <w:pPr>
                    <w:pStyle w:val="20"/>
                  </w:pPr>
                  <w:r>
                    <w:t>本项目不产生油基泥浆，</w:t>
                  </w:r>
                  <w:r>
                    <w:rPr>
                      <w:rFonts w:hint="eastAsia"/>
                    </w:rPr>
                    <w:t>剩余废弃钻井液回收后用于后续钻井液配置</w:t>
                  </w:r>
                  <w:r>
                    <w:t>。</w:t>
                  </w:r>
                </w:p>
              </w:tc>
              <w:tc>
                <w:tcPr>
                  <w:tcW w:w="515"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92" w:type="pct"/>
                  <w:vAlign w:val="center"/>
                </w:tcPr>
                <w:p>
                  <w:pPr>
                    <w:pStyle w:val="20"/>
                  </w:pPr>
                  <w:r>
                    <w:t>6</w:t>
                  </w:r>
                </w:p>
              </w:tc>
              <w:tc>
                <w:tcPr>
                  <w:tcW w:w="2302" w:type="pct"/>
                  <w:vAlign w:val="center"/>
                </w:tcPr>
                <w:p>
                  <w:pPr>
                    <w:pStyle w:val="20"/>
                  </w:pPr>
                  <w:r>
                    <w:t>施工期应当尽量减少施工占地、缩短施工时间、选择合理施工方式、落实环境敏感区管控要求以及其他生态环境保护措施，降低生态环境影响。</w:t>
                  </w:r>
                </w:p>
              </w:tc>
              <w:tc>
                <w:tcPr>
                  <w:tcW w:w="1788" w:type="pct"/>
                  <w:vAlign w:val="center"/>
                </w:tcPr>
                <w:p>
                  <w:pPr>
                    <w:pStyle w:val="20"/>
                  </w:pPr>
                  <w:r>
                    <w:t>施工期严格控制占地面积，施工单位在占地范围内施工，严格控制和管理运输车辆及重型机械施工作业范围。具体详见环境保护措施章节。</w:t>
                  </w:r>
                </w:p>
              </w:tc>
              <w:tc>
                <w:tcPr>
                  <w:tcW w:w="515"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392" w:type="pct"/>
                  <w:vAlign w:val="center"/>
                </w:tcPr>
                <w:p>
                  <w:pPr>
                    <w:pStyle w:val="20"/>
                  </w:pPr>
                  <w:r>
                    <w:t>7</w:t>
                  </w:r>
                </w:p>
              </w:tc>
              <w:tc>
                <w:tcPr>
                  <w:tcW w:w="2302" w:type="pct"/>
                  <w:vAlign w:val="center"/>
                </w:tcPr>
                <w:p>
                  <w:pPr>
                    <w:pStyle w:val="20"/>
                  </w:pPr>
                  <w:r>
                    <w:t>油气企业应当切实落实生态环境保护主体责任，进一步健全生态环境保护管理体系和制度，充分发挥企业内部生态环境保护部门作用，健全健康、安全与环境（HSE）管理体系，加强督促检查，推动所属油气田落实规划、建设、运营、退役等环节生态环境保护措施。</w:t>
                  </w:r>
                </w:p>
              </w:tc>
              <w:tc>
                <w:tcPr>
                  <w:tcW w:w="1788" w:type="pct"/>
                  <w:vAlign w:val="center"/>
                </w:tcPr>
                <w:p>
                  <w:pPr>
                    <w:pStyle w:val="20"/>
                  </w:pPr>
                  <w:r>
                    <w:t>建设单位设置安全环保科室及人员，建有HSE管理体系，监督落实钻井期各项生态环境保护措施。</w:t>
                  </w:r>
                </w:p>
              </w:tc>
              <w:tc>
                <w:tcPr>
                  <w:tcW w:w="515" w:type="pct"/>
                  <w:vAlign w:val="center"/>
                </w:tcPr>
                <w:p>
                  <w:pPr>
                    <w:pStyle w:val="20"/>
                  </w:pPr>
                  <w:r>
                    <w:t>符合</w:t>
                  </w:r>
                </w:p>
              </w:tc>
            </w:tr>
          </w:tbl>
          <w:p>
            <w:pPr>
              <w:pStyle w:val="18"/>
            </w:pPr>
            <w:bookmarkStart w:id="5" w:name="_Toc31310"/>
            <w:r>
              <w:rPr>
                <w:rFonts w:hint="eastAsia"/>
              </w:rPr>
              <w:t>2</w:t>
            </w:r>
            <w:r>
              <w:t xml:space="preserve"> 与“三线一单”相符性</w:t>
            </w:r>
            <w:bookmarkEnd w:id="5"/>
          </w:p>
          <w:p>
            <w:pPr>
              <w:ind w:firstLine="480"/>
            </w:pPr>
            <w:r>
              <w:rPr>
                <w:rFonts w:hint="eastAsia"/>
              </w:rPr>
              <w:t>根据《自治区生态环境分区管控方案和七大片区管控要求》（新环环评发</w:t>
            </w:r>
            <w:r>
              <w:rPr>
                <w:rFonts w:hint="eastAsia"/>
                <w:bCs/>
              </w:rPr>
              <w:t>〔</w:t>
            </w:r>
            <w:r>
              <w:t>2021</w:t>
            </w:r>
            <w:r>
              <w:rPr>
                <w:rFonts w:hint="eastAsia"/>
                <w:bCs/>
              </w:rPr>
              <w:t>〕</w:t>
            </w:r>
            <w:r>
              <w:t>162</w:t>
            </w:r>
            <w:r>
              <w:rPr>
                <w:rFonts w:hint="eastAsia"/>
              </w:rPr>
              <w:t>号），自治区层面确定优先保护、重点管控、一般管控单元的总体生态环境管控要求。同时，按照《新疆维吾尔自治区“三线一单”生态环境分区管控方案》，全区划分为七大片区，包括北疆北部</w:t>
            </w:r>
            <w:r>
              <w:t>(</w:t>
            </w:r>
            <w:r>
              <w:rPr>
                <w:rFonts w:hint="eastAsia"/>
              </w:rPr>
              <w:t>塔城地区、阿勒泰地区</w:t>
            </w:r>
            <w:r>
              <w:t>)</w:t>
            </w:r>
            <w:r>
              <w:rPr>
                <w:rFonts w:hint="eastAsia"/>
              </w:rPr>
              <w:t>、伊犁河谷、克奎乌</w:t>
            </w:r>
            <w:r>
              <w:t>-</w:t>
            </w:r>
            <w:r>
              <w:rPr>
                <w:rFonts w:hint="eastAsia"/>
              </w:rPr>
              <w:t>博州、乌昌石、吐哈、天山南坡</w:t>
            </w:r>
            <w:r>
              <w:t>(</w:t>
            </w:r>
            <w:r>
              <w:rPr>
                <w:rFonts w:hint="eastAsia"/>
              </w:rPr>
              <w:t>巴州、阿克苏地区</w:t>
            </w:r>
            <w:r>
              <w:t>)</w:t>
            </w:r>
            <w:r>
              <w:rPr>
                <w:rFonts w:hint="eastAsia"/>
              </w:rPr>
              <w:t>和南疆三地州片区，新疆维吾尔自治区生态环境厅制定《新疆维吾尔自治区七大片区“三线一单”生态环境分区管控要求》。塔城地区（不含沙湾市和乌苏市）主要涉及“北疆北部片区”，乌苏市涉及“克奎乌</w:t>
            </w:r>
            <w:r>
              <w:t>-</w:t>
            </w:r>
            <w:r>
              <w:rPr>
                <w:rFonts w:hint="eastAsia"/>
              </w:rPr>
              <w:t>博州片区”，沙湾市涉及乌昌石片区。</w:t>
            </w:r>
          </w:p>
          <w:p>
            <w:pPr>
              <w:pStyle w:val="18"/>
              <w:ind w:firstLine="480" w:firstLineChars="200"/>
            </w:pPr>
            <w:r>
              <w:rPr>
                <w:rFonts w:hint="eastAsia"/>
                <w:b w:val="0"/>
                <w:sz w:val="24"/>
              </w:rPr>
              <w:t>本项目位于自治区生态环境分区的一般管控单元，位于七大片区的北疆北部片区。其管控要求见表1-4。</w:t>
            </w:r>
          </w:p>
          <w:p>
            <w:pPr>
              <w:pStyle w:val="22"/>
              <w:snapToGrid w:val="0"/>
              <w:spacing w:line="360" w:lineRule="auto"/>
              <w:ind w:firstLine="200"/>
              <w:jc w:val="center"/>
              <w:rPr>
                <w:rFonts w:ascii="Times New Roman" w:cs="Times New Roman"/>
                <w:b/>
                <w:bCs/>
                <w:color w:val="auto"/>
                <w:sz w:val="21"/>
                <w:szCs w:val="21"/>
              </w:rPr>
            </w:pPr>
            <w:r>
              <w:rPr>
                <w:rFonts w:ascii="Times New Roman" w:cs="Times New Roman"/>
                <w:b/>
                <w:bCs/>
                <w:color w:val="auto"/>
                <w:sz w:val="21"/>
                <w:szCs w:val="21"/>
              </w:rPr>
              <w:t>表1-4  本项目与新环环评发</w:t>
            </w:r>
            <w:r>
              <w:rPr>
                <w:rFonts w:hint="eastAsia" w:ascii="Times New Roman" w:cs="Times New Roman"/>
                <w:b/>
                <w:bCs/>
                <w:color w:val="auto"/>
                <w:sz w:val="21"/>
                <w:szCs w:val="21"/>
              </w:rPr>
              <w:t>〔2021〕</w:t>
            </w:r>
            <w:r>
              <w:rPr>
                <w:rFonts w:ascii="Times New Roman" w:cs="Times New Roman"/>
                <w:b/>
                <w:bCs/>
                <w:color w:val="auto"/>
                <w:sz w:val="21"/>
                <w:szCs w:val="21"/>
              </w:rPr>
              <w:t>162号文相符性分析</w:t>
            </w:r>
          </w:p>
          <w:tbl>
            <w:tblPr>
              <w:tblStyle w:val="14"/>
              <w:tblW w:w="8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426"/>
              <w:gridCol w:w="794"/>
              <w:gridCol w:w="4564"/>
              <w:gridCol w:w="1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7" w:type="dxa"/>
                  <w:gridSpan w:val="4"/>
                  <w:vAlign w:val="center"/>
                </w:tcPr>
                <w:p>
                  <w:pPr>
                    <w:widowControl/>
                    <w:spacing w:line="240" w:lineRule="auto"/>
                    <w:ind w:firstLine="0" w:firstLineChars="0"/>
                    <w:jc w:val="center"/>
                    <w:rPr>
                      <w:b/>
                      <w:bCs/>
                      <w:kern w:val="0"/>
                      <w:sz w:val="21"/>
                      <w:szCs w:val="21"/>
                    </w:rPr>
                  </w:pPr>
                  <w:r>
                    <w:rPr>
                      <w:rFonts w:hint="eastAsia"/>
                      <w:b/>
                      <w:bCs/>
                      <w:kern w:val="0"/>
                      <w:sz w:val="21"/>
                      <w:szCs w:val="21"/>
                    </w:rPr>
                    <w:t>管控要求</w:t>
                  </w:r>
                </w:p>
              </w:tc>
              <w:tc>
                <w:tcPr>
                  <w:tcW w:w="1768" w:type="dxa"/>
                  <w:vAlign w:val="center"/>
                </w:tcPr>
                <w:p>
                  <w:pPr>
                    <w:widowControl/>
                    <w:spacing w:line="240" w:lineRule="auto"/>
                    <w:ind w:firstLine="0" w:firstLineChars="0"/>
                    <w:jc w:val="center"/>
                    <w:rPr>
                      <w:b/>
                      <w:bCs/>
                      <w:kern w:val="0"/>
                      <w:sz w:val="21"/>
                      <w:szCs w:val="21"/>
                    </w:rPr>
                  </w:pPr>
                  <w:r>
                    <w:rPr>
                      <w:rFonts w:hint="eastAsia"/>
                      <w:b/>
                      <w:bCs/>
                      <w:kern w:val="0"/>
                      <w:sz w:val="21"/>
                      <w:szCs w:val="21"/>
                    </w:rPr>
                    <w:t>本项目符合性分析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restart"/>
                  <w:vAlign w:val="center"/>
                </w:tcPr>
                <w:p>
                  <w:pPr>
                    <w:widowControl/>
                    <w:spacing w:line="240" w:lineRule="auto"/>
                    <w:ind w:firstLine="0" w:firstLineChars="0"/>
                    <w:jc w:val="center"/>
                    <w:rPr>
                      <w:kern w:val="0"/>
                      <w:sz w:val="21"/>
                      <w:szCs w:val="21"/>
                    </w:rPr>
                  </w:pPr>
                  <w:r>
                    <w:rPr>
                      <w:kern w:val="0"/>
                      <w:sz w:val="21"/>
                      <w:szCs w:val="21"/>
                    </w:rPr>
                    <w:t>A7</w:t>
                  </w:r>
                  <w:r>
                    <w:rPr>
                      <w:rFonts w:hint="eastAsia"/>
                      <w:kern w:val="0"/>
                      <w:sz w:val="21"/>
                      <w:szCs w:val="21"/>
                    </w:rPr>
                    <w:t>一般管控单元</w:t>
                  </w:r>
                </w:p>
              </w:tc>
              <w:tc>
                <w:tcPr>
                  <w:tcW w:w="1220" w:type="dxa"/>
                  <w:gridSpan w:val="2"/>
                  <w:vAlign w:val="center"/>
                </w:tcPr>
                <w:p>
                  <w:pPr>
                    <w:widowControl/>
                    <w:spacing w:line="240" w:lineRule="auto"/>
                    <w:ind w:firstLine="0" w:firstLineChars="0"/>
                    <w:jc w:val="center"/>
                    <w:rPr>
                      <w:kern w:val="0"/>
                      <w:sz w:val="21"/>
                      <w:szCs w:val="21"/>
                    </w:rPr>
                  </w:pPr>
                  <w:r>
                    <w:rPr>
                      <w:rFonts w:hint="eastAsia"/>
                      <w:kern w:val="0"/>
                      <w:sz w:val="21"/>
                      <w:szCs w:val="21"/>
                    </w:rPr>
                    <w:t>空间布局约束</w:t>
                  </w:r>
                </w:p>
              </w:tc>
              <w:tc>
                <w:tcPr>
                  <w:tcW w:w="4564" w:type="dxa"/>
                  <w:vAlign w:val="center"/>
                </w:tcPr>
                <w:p>
                  <w:pPr>
                    <w:widowControl/>
                    <w:spacing w:line="240" w:lineRule="auto"/>
                    <w:ind w:firstLine="0" w:firstLineChars="0"/>
                    <w:rPr>
                      <w:kern w:val="0"/>
                      <w:sz w:val="21"/>
                      <w:szCs w:val="21"/>
                    </w:rPr>
                  </w:pPr>
                  <w:r>
                    <w:rPr>
                      <w:rFonts w:hint="eastAsia"/>
                      <w:kern w:val="0"/>
                      <w:sz w:val="21"/>
                      <w:szCs w:val="21"/>
                    </w:rPr>
                    <w:t>限制进行大规模高强度工业化城镇化开发，严格控制金属冶炼、石油化工、焦化等</w:t>
                  </w:r>
                  <w:r>
                    <w:rPr>
                      <w:kern w:val="0"/>
                      <w:sz w:val="21"/>
                      <w:szCs w:val="21"/>
                    </w:rPr>
                    <w:t>“</w:t>
                  </w:r>
                  <w:r>
                    <w:rPr>
                      <w:rFonts w:hint="eastAsia"/>
                      <w:kern w:val="0"/>
                      <w:sz w:val="21"/>
                      <w:szCs w:val="21"/>
                    </w:rPr>
                    <w:t>高污染、高环境风险产品</w:t>
                  </w:r>
                  <w:r>
                    <w:rPr>
                      <w:kern w:val="0"/>
                      <w:sz w:val="21"/>
                      <w:szCs w:val="21"/>
                    </w:rPr>
                    <w:t>”</w:t>
                  </w:r>
                  <w:r>
                    <w:rPr>
                      <w:rFonts w:hint="eastAsia"/>
                      <w:kern w:val="0"/>
                      <w:sz w:val="21"/>
                      <w:szCs w:val="21"/>
                    </w:rPr>
                    <w:t>工业项目，原则上不增加产能，现有</w:t>
                  </w:r>
                  <w:r>
                    <w:rPr>
                      <w:kern w:val="0"/>
                      <w:sz w:val="21"/>
                      <w:szCs w:val="21"/>
                    </w:rPr>
                    <w:t>“</w:t>
                  </w:r>
                  <w:r>
                    <w:rPr>
                      <w:rFonts w:hint="eastAsia"/>
                      <w:kern w:val="0"/>
                      <w:sz w:val="21"/>
                      <w:szCs w:val="21"/>
                    </w:rPr>
                    <w:t>高污染、高环境风险产品</w:t>
                  </w:r>
                  <w:r>
                    <w:rPr>
                      <w:kern w:val="0"/>
                      <w:sz w:val="21"/>
                      <w:szCs w:val="21"/>
                    </w:rPr>
                    <w:t>”</w:t>
                  </w:r>
                  <w:r>
                    <w:rPr>
                      <w:rFonts w:hint="eastAsia"/>
                      <w:kern w:val="0"/>
                      <w:sz w:val="21"/>
                      <w:szCs w:val="21"/>
                    </w:rPr>
                    <w:t>工业项目持续削减污染物排放总量并严格控制环境风险。原则上禁止建设涉及一类重金属、持久性有机污染物排放的工业项目。建立集镇居住商业区、耕地保护区与工业功能区等集聚区块之间的防护带。严格执行畜禽养殖禁养区规定，根据区域用地和消纳水平，合理确定养殖规模。加强基本农田保护，严格限制非农项目占用耕地。</w:t>
                  </w:r>
                </w:p>
              </w:tc>
              <w:tc>
                <w:tcPr>
                  <w:tcW w:w="1768" w:type="dxa"/>
                  <w:vMerge w:val="restart"/>
                  <w:vAlign w:val="center"/>
                </w:tcPr>
                <w:p>
                  <w:pPr>
                    <w:widowControl/>
                    <w:spacing w:line="240" w:lineRule="auto"/>
                    <w:ind w:firstLine="0" w:firstLineChars="0"/>
                    <w:rPr>
                      <w:kern w:val="0"/>
                      <w:sz w:val="21"/>
                      <w:szCs w:val="21"/>
                    </w:rPr>
                  </w:pPr>
                  <w:r>
                    <w:rPr>
                      <w:rFonts w:hint="eastAsia"/>
                      <w:kern w:val="0"/>
                      <w:sz w:val="21"/>
                      <w:szCs w:val="21"/>
                    </w:rPr>
                    <w:t>本项目不属于高污染、高环境风险项目，不属于建设类的工业项目，本项目不占用耕地。本项目符合空间布局约束要求、符合一般管控单元的其他方面的要求。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kern w:val="0"/>
                      <w:sz w:val="21"/>
                      <w:szCs w:val="21"/>
                    </w:rPr>
                  </w:pPr>
                </w:p>
              </w:tc>
              <w:tc>
                <w:tcPr>
                  <w:tcW w:w="1220" w:type="dxa"/>
                  <w:gridSpan w:val="2"/>
                  <w:vAlign w:val="center"/>
                </w:tcPr>
                <w:p>
                  <w:pPr>
                    <w:widowControl/>
                    <w:spacing w:line="240" w:lineRule="auto"/>
                    <w:ind w:firstLine="0" w:firstLineChars="0"/>
                    <w:jc w:val="center"/>
                    <w:rPr>
                      <w:kern w:val="0"/>
                      <w:sz w:val="21"/>
                      <w:szCs w:val="21"/>
                    </w:rPr>
                  </w:pPr>
                  <w:r>
                    <w:rPr>
                      <w:rFonts w:hint="eastAsia"/>
                      <w:kern w:val="0"/>
                      <w:sz w:val="21"/>
                      <w:szCs w:val="21"/>
                    </w:rPr>
                    <w:t>污染物排放管控</w:t>
                  </w:r>
                </w:p>
              </w:tc>
              <w:tc>
                <w:tcPr>
                  <w:tcW w:w="4564" w:type="dxa"/>
                  <w:vAlign w:val="center"/>
                </w:tcPr>
                <w:p>
                  <w:pPr>
                    <w:widowControl/>
                    <w:spacing w:line="240" w:lineRule="auto"/>
                    <w:ind w:firstLine="0" w:firstLineChars="0"/>
                    <w:rPr>
                      <w:kern w:val="0"/>
                      <w:sz w:val="21"/>
                      <w:szCs w:val="21"/>
                    </w:rPr>
                  </w:pPr>
                  <w:r>
                    <w:rPr>
                      <w:rFonts w:hint="eastAsia"/>
                      <w:kern w:val="0"/>
                      <w:sz w:val="21"/>
                      <w:szCs w:val="21"/>
                    </w:rPr>
                    <w:t>落实污染物总量控制制度，根据区域环境质量改善目标，削减污染物排放总量。加强农业面源污染治理，严格控制化肥农药施加量，逐步削减农业面源污染物排放量。</w:t>
                  </w:r>
                </w:p>
              </w:tc>
              <w:tc>
                <w:tcPr>
                  <w:tcW w:w="1768" w:type="dxa"/>
                  <w:vMerge w:val="continue"/>
                  <w:vAlign w:val="center"/>
                </w:tcPr>
                <w:p>
                  <w:pPr>
                    <w:widowControl/>
                    <w:spacing w:line="240" w:lineRule="auto"/>
                    <w:ind w:firstLine="0" w:firstLineChars="0"/>
                    <w:jc w:val="left"/>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kern w:val="0"/>
                      <w:sz w:val="21"/>
                      <w:szCs w:val="21"/>
                    </w:rPr>
                  </w:pPr>
                </w:p>
              </w:tc>
              <w:tc>
                <w:tcPr>
                  <w:tcW w:w="1220" w:type="dxa"/>
                  <w:gridSpan w:val="2"/>
                  <w:vAlign w:val="center"/>
                </w:tcPr>
                <w:p>
                  <w:pPr>
                    <w:widowControl/>
                    <w:spacing w:line="240" w:lineRule="auto"/>
                    <w:ind w:firstLine="0" w:firstLineChars="0"/>
                    <w:jc w:val="center"/>
                    <w:rPr>
                      <w:kern w:val="0"/>
                      <w:sz w:val="21"/>
                      <w:szCs w:val="21"/>
                    </w:rPr>
                  </w:pPr>
                  <w:r>
                    <w:rPr>
                      <w:rFonts w:hint="eastAsia"/>
                      <w:kern w:val="0"/>
                      <w:sz w:val="21"/>
                      <w:szCs w:val="21"/>
                    </w:rPr>
                    <w:t>环境风险防控</w:t>
                  </w:r>
                </w:p>
              </w:tc>
              <w:tc>
                <w:tcPr>
                  <w:tcW w:w="4564" w:type="dxa"/>
                  <w:vAlign w:val="center"/>
                </w:tcPr>
                <w:p>
                  <w:pPr>
                    <w:widowControl/>
                    <w:spacing w:line="240" w:lineRule="auto"/>
                    <w:ind w:firstLine="0" w:firstLineChars="0"/>
                    <w:rPr>
                      <w:kern w:val="0"/>
                      <w:sz w:val="21"/>
                      <w:szCs w:val="21"/>
                    </w:rPr>
                  </w:pPr>
                  <w:r>
                    <w:rPr>
                      <w:rFonts w:hint="eastAsia"/>
                      <w:kern w:val="0"/>
                      <w:sz w:val="21"/>
                      <w:szCs w:val="21"/>
                    </w:rPr>
                    <w:t>加强生态公益林保护与建设，防止水土流失。禁止向农用地排放重金属或者其他有毒有害物质含量超标的污水、污泥，以及可能造成土壤污染的尾矿、矿渣等。加强农田土壤、灌溉水的监测及评价，对周边或区域环境风险源进行评估。</w:t>
                  </w:r>
                </w:p>
              </w:tc>
              <w:tc>
                <w:tcPr>
                  <w:tcW w:w="1768" w:type="dxa"/>
                  <w:vMerge w:val="continue"/>
                  <w:vAlign w:val="center"/>
                </w:tcPr>
                <w:p>
                  <w:pPr>
                    <w:widowControl/>
                    <w:spacing w:line="240" w:lineRule="auto"/>
                    <w:ind w:firstLine="0" w:firstLineChars="0"/>
                    <w:jc w:val="left"/>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kern w:val="0"/>
                      <w:sz w:val="21"/>
                      <w:szCs w:val="21"/>
                    </w:rPr>
                  </w:pPr>
                </w:p>
              </w:tc>
              <w:tc>
                <w:tcPr>
                  <w:tcW w:w="1220" w:type="dxa"/>
                  <w:gridSpan w:val="2"/>
                  <w:vAlign w:val="center"/>
                </w:tcPr>
                <w:p>
                  <w:pPr>
                    <w:widowControl/>
                    <w:spacing w:line="240" w:lineRule="auto"/>
                    <w:ind w:firstLine="0" w:firstLineChars="0"/>
                    <w:jc w:val="center"/>
                    <w:rPr>
                      <w:kern w:val="0"/>
                      <w:sz w:val="21"/>
                      <w:szCs w:val="21"/>
                    </w:rPr>
                  </w:pPr>
                  <w:r>
                    <w:rPr>
                      <w:rFonts w:hint="eastAsia"/>
                      <w:kern w:val="0"/>
                      <w:sz w:val="21"/>
                      <w:szCs w:val="21"/>
                    </w:rPr>
                    <w:t>资源利用要求</w:t>
                  </w:r>
                </w:p>
              </w:tc>
              <w:tc>
                <w:tcPr>
                  <w:tcW w:w="4564" w:type="dxa"/>
                  <w:vAlign w:val="center"/>
                </w:tcPr>
                <w:p>
                  <w:pPr>
                    <w:widowControl/>
                    <w:spacing w:line="240" w:lineRule="auto"/>
                    <w:ind w:firstLine="0" w:firstLineChars="0"/>
                    <w:jc w:val="left"/>
                    <w:rPr>
                      <w:kern w:val="0"/>
                      <w:sz w:val="21"/>
                      <w:szCs w:val="21"/>
                    </w:rPr>
                  </w:pPr>
                  <w:r>
                    <w:rPr>
                      <w:rFonts w:hint="eastAsia"/>
                      <w:kern w:val="0"/>
                      <w:sz w:val="21"/>
                      <w:szCs w:val="21"/>
                    </w:rPr>
                    <w:t>实行水资源消耗总量和强度双控，推进农业节水，提高农业用水效率。优化能源结构，加强能源清洁利用。</w:t>
                  </w:r>
                </w:p>
              </w:tc>
              <w:tc>
                <w:tcPr>
                  <w:tcW w:w="1768" w:type="dxa"/>
                  <w:vMerge w:val="continue"/>
                  <w:vAlign w:val="center"/>
                </w:tcPr>
                <w:p>
                  <w:pPr>
                    <w:widowControl/>
                    <w:spacing w:line="240" w:lineRule="auto"/>
                    <w:ind w:firstLine="0" w:firstLineChars="0"/>
                    <w:jc w:val="left"/>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restart"/>
                  <w:vAlign w:val="center"/>
                </w:tcPr>
                <w:p>
                  <w:pPr>
                    <w:widowControl/>
                    <w:spacing w:line="240" w:lineRule="auto"/>
                    <w:ind w:firstLine="0" w:firstLineChars="0"/>
                    <w:jc w:val="left"/>
                    <w:rPr>
                      <w:kern w:val="0"/>
                      <w:sz w:val="21"/>
                      <w:szCs w:val="21"/>
                    </w:rPr>
                  </w:pPr>
                  <w:r>
                    <w:rPr>
                      <w:rFonts w:hint="eastAsia"/>
                      <w:sz w:val="21"/>
                      <w:szCs w:val="21"/>
                      <w:shd w:val="clear" w:color="auto" w:fill="FFFFFF"/>
                    </w:rPr>
                    <w:t>北疆北部片区</w:t>
                  </w:r>
                </w:p>
              </w:tc>
              <w:tc>
                <w:tcPr>
                  <w:tcW w:w="426" w:type="dxa"/>
                  <w:vMerge w:val="restart"/>
                  <w:vAlign w:val="center"/>
                </w:tcPr>
                <w:p>
                  <w:pPr>
                    <w:widowControl/>
                    <w:spacing w:line="240" w:lineRule="auto"/>
                    <w:ind w:firstLine="0" w:firstLineChars="0"/>
                    <w:jc w:val="center"/>
                    <w:rPr>
                      <w:kern w:val="0"/>
                      <w:sz w:val="21"/>
                      <w:szCs w:val="21"/>
                    </w:rPr>
                  </w:pPr>
                  <w:r>
                    <w:rPr>
                      <w:rFonts w:hint="eastAsia"/>
                      <w:kern w:val="0"/>
                      <w:sz w:val="21"/>
                      <w:szCs w:val="21"/>
                    </w:rPr>
                    <w:t>总体要求</w:t>
                  </w:r>
                </w:p>
              </w:tc>
              <w:tc>
                <w:tcPr>
                  <w:tcW w:w="794" w:type="dxa"/>
                  <w:vAlign w:val="center"/>
                </w:tcPr>
                <w:p>
                  <w:pPr>
                    <w:widowControl/>
                    <w:spacing w:line="240" w:lineRule="auto"/>
                    <w:ind w:firstLine="0" w:firstLineChars="0"/>
                    <w:jc w:val="center"/>
                    <w:rPr>
                      <w:kern w:val="0"/>
                      <w:sz w:val="21"/>
                      <w:szCs w:val="21"/>
                    </w:rPr>
                  </w:pPr>
                  <w:r>
                    <w:rPr>
                      <w:rFonts w:hint="eastAsia"/>
                      <w:sz w:val="21"/>
                      <w:szCs w:val="21"/>
                      <w:shd w:val="clear" w:color="auto" w:fill="FFFFFF"/>
                    </w:rPr>
                    <w:t>空间布局约束</w:t>
                  </w:r>
                </w:p>
              </w:tc>
              <w:tc>
                <w:tcPr>
                  <w:tcW w:w="4564" w:type="dxa"/>
                  <w:vAlign w:val="center"/>
                </w:tcPr>
                <w:p>
                  <w:pPr>
                    <w:widowControl/>
                    <w:spacing w:line="240" w:lineRule="auto"/>
                    <w:ind w:firstLine="0" w:firstLineChars="0"/>
                    <w:jc w:val="left"/>
                    <w:rPr>
                      <w:kern w:val="0"/>
                      <w:sz w:val="21"/>
                      <w:szCs w:val="21"/>
                    </w:rPr>
                  </w:pPr>
                  <w:r>
                    <w:rPr>
                      <w:rFonts w:hint="eastAsia"/>
                      <w:sz w:val="21"/>
                      <w:szCs w:val="21"/>
                      <w:shd w:val="clear" w:color="auto" w:fill="FFFFFF"/>
                    </w:rPr>
                    <w:t>严格执行国家、自治区产业政策和环境准入要求，严禁</w:t>
                  </w:r>
                  <w:r>
                    <w:rPr>
                      <w:sz w:val="21"/>
                      <w:szCs w:val="21"/>
                      <w:shd w:val="clear" w:color="auto" w:fill="FFFFFF"/>
                    </w:rPr>
                    <w:t>“</w:t>
                  </w:r>
                  <w:r>
                    <w:rPr>
                      <w:rFonts w:hint="eastAsia"/>
                      <w:sz w:val="21"/>
                      <w:szCs w:val="21"/>
                      <w:shd w:val="clear" w:color="auto" w:fill="FFFFFF"/>
                    </w:rPr>
                    <w:t>三高</w:t>
                  </w:r>
                  <w:r>
                    <w:rPr>
                      <w:sz w:val="21"/>
                      <w:szCs w:val="21"/>
                      <w:shd w:val="clear" w:color="auto" w:fill="FFFFFF"/>
                    </w:rPr>
                    <w:t>”</w:t>
                  </w:r>
                  <w:r>
                    <w:rPr>
                      <w:rFonts w:hint="eastAsia"/>
                      <w:sz w:val="21"/>
                      <w:szCs w:val="21"/>
                      <w:shd w:val="clear" w:color="auto" w:fill="FFFFFF"/>
                    </w:rPr>
                    <w:t>项目进新疆，坚决遏制</w:t>
                  </w:r>
                  <w:r>
                    <w:rPr>
                      <w:sz w:val="21"/>
                      <w:szCs w:val="21"/>
                      <w:shd w:val="clear" w:color="auto" w:fill="FFFFFF"/>
                    </w:rPr>
                    <w:t>“</w:t>
                  </w:r>
                  <w:r>
                    <w:rPr>
                      <w:rFonts w:hint="eastAsia"/>
                      <w:sz w:val="21"/>
                      <w:szCs w:val="21"/>
                      <w:shd w:val="clear" w:color="auto" w:fill="FFFFFF"/>
                    </w:rPr>
                    <w:t>两高</w:t>
                  </w:r>
                  <w:r>
                    <w:rPr>
                      <w:sz w:val="21"/>
                      <w:szCs w:val="21"/>
                      <w:shd w:val="clear" w:color="auto" w:fill="FFFFFF"/>
                    </w:rPr>
                    <w:t>”</w:t>
                  </w:r>
                  <w:r>
                    <w:rPr>
                      <w:rFonts w:hint="eastAsia"/>
                      <w:sz w:val="21"/>
                      <w:szCs w:val="21"/>
                      <w:shd w:val="clear" w:color="auto" w:fill="FFFFFF"/>
                    </w:rPr>
                    <w:t>项目盲目发展。不得在水源涵养区、饮用水水源保护区内和河流、湖泊、水库周围建设重化工、涉重金属等工业污染项目。推动项目集聚发展，新建、改建、扩建工业项目原则上应布置于由县级及以上人民政府批准建立、环境保护基础设施完善的产业园区、工业聚集区或规划矿区，并且符合相关规划和规划环评要求。</w:t>
                  </w:r>
                </w:p>
              </w:tc>
              <w:tc>
                <w:tcPr>
                  <w:tcW w:w="1768" w:type="dxa"/>
                  <w:vAlign w:val="center"/>
                </w:tcPr>
                <w:p>
                  <w:pPr>
                    <w:widowControl/>
                    <w:spacing w:line="240" w:lineRule="auto"/>
                    <w:ind w:firstLine="0" w:firstLineChars="0"/>
                    <w:jc w:val="center"/>
                    <w:rPr>
                      <w:kern w:val="0"/>
                      <w:sz w:val="21"/>
                      <w:szCs w:val="21"/>
                    </w:rPr>
                  </w:pPr>
                  <w:r>
                    <w:rPr>
                      <w:rFonts w:hint="eastAsia"/>
                      <w:kern w:val="0"/>
                      <w:sz w:val="21"/>
                      <w:szCs w:val="21"/>
                    </w:rPr>
                    <w:t>本项目不属于“三高”项目，项目不属于化工</w:t>
                  </w:r>
                  <w:r>
                    <w:rPr>
                      <w:rFonts w:hint="eastAsia" w:ascii="宋体" w:hAnsi="宋体" w:cs="宋体"/>
                      <w:kern w:val="0"/>
                      <w:sz w:val="21"/>
                      <w:szCs w:val="21"/>
                    </w:rPr>
                    <w:t>、</w:t>
                  </w:r>
                  <w:r>
                    <w:rPr>
                      <w:rFonts w:hint="eastAsia"/>
                      <w:kern w:val="0"/>
                      <w:sz w:val="21"/>
                      <w:szCs w:val="21"/>
                    </w:rPr>
                    <w:t>重金属等工业污染项目，符合北疆北部片区空间布局约束要求。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sz w:val="21"/>
                      <w:szCs w:val="21"/>
                      <w:shd w:val="clear" w:color="auto" w:fill="FFFFFF"/>
                    </w:rPr>
                  </w:pPr>
                </w:p>
              </w:tc>
              <w:tc>
                <w:tcPr>
                  <w:tcW w:w="426" w:type="dxa"/>
                  <w:vMerge w:val="continue"/>
                  <w:vAlign w:val="center"/>
                </w:tcPr>
                <w:p>
                  <w:pPr>
                    <w:widowControl/>
                    <w:spacing w:line="240" w:lineRule="auto"/>
                    <w:ind w:firstLine="0" w:firstLineChars="0"/>
                    <w:jc w:val="center"/>
                    <w:rPr>
                      <w:kern w:val="0"/>
                      <w:sz w:val="21"/>
                      <w:szCs w:val="21"/>
                    </w:rPr>
                  </w:pPr>
                </w:p>
              </w:tc>
              <w:tc>
                <w:tcPr>
                  <w:tcW w:w="794" w:type="dxa"/>
                  <w:vAlign w:val="center"/>
                </w:tcPr>
                <w:p>
                  <w:pPr>
                    <w:widowControl/>
                    <w:spacing w:line="240" w:lineRule="auto"/>
                    <w:ind w:firstLine="0" w:firstLineChars="0"/>
                    <w:jc w:val="center"/>
                    <w:rPr>
                      <w:kern w:val="0"/>
                      <w:sz w:val="21"/>
                      <w:szCs w:val="21"/>
                    </w:rPr>
                  </w:pPr>
                  <w:r>
                    <w:rPr>
                      <w:rFonts w:hint="eastAsia"/>
                      <w:sz w:val="21"/>
                      <w:szCs w:val="21"/>
                      <w:shd w:val="clear" w:color="auto" w:fill="FFFFFF"/>
                    </w:rPr>
                    <w:t>污染物排放管控</w:t>
                  </w:r>
                </w:p>
              </w:tc>
              <w:tc>
                <w:tcPr>
                  <w:tcW w:w="4564" w:type="dxa"/>
                  <w:vAlign w:val="center"/>
                </w:tcPr>
                <w:p>
                  <w:pPr>
                    <w:spacing w:before="120" w:beforeLines="50" w:line="240" w:lineRule="auto"/>
                    <w:ind w:firstLine="0" w:firstLineChars="0"/>
                    <w:rPr>
                      <w:sz w:val="21"/>
                      <w:szCs w:val="21"/>
                      <w:shd w:val="clear" w:color="auto" w:fill="FFFFFF"/>
                    </w:rPr>
                  </w:pPr>
                  <w:r>
                    <w:rPr>
                      <w:rFonts w:hint="eastAsia"/>
                      <w:sz w:val="21"/>
                      <w:szCs w:val="21"/>
                      <w:shd w:val="clear" w:color="auto" w:fill="FFFFFF"/>
                    </w:rPr>
                    <w:t>深化行业污染源头治理，深入开展火电行业减排，全力推进钢铁行业超低排放改造，有序推进石化行业</w:t>
                  </w:r>
                  <w:r>
                    <w:rPr>
                      <w:sz w:val="21"/>
                      <w:szCs w:val="21"/>
                      <w:shd w:val="clear" w:color="auto" w:fill="FFFFFF"/>
                    </w:rPr>
                    <w:t>“</w:t>
                  </w:r>
                  <w:r>
                    <w:rPr>
                      <w:rFonts w:hint="eastAsia"/>
                      <w:sz w:val="21"/>
                      <w:szCs w:val="21"/>
                      <w:shd w:val="clear" w:color="auto" w:fill="FFFFFF"/>
                    </w:rPr>
                    <w:t>泄漏检测与修复</w:t>
                  </w:r>
                  <w:r>
                    <w:rPr>
                      <w:sz w:val="21"/>
                      <w:szCs w:val="21"/>
                      <w:shd w:val="clear" w:color="auto" w:fill="FFFFFF"/>
                    </w:rPr>
                    <w:t>”</w:t>
                  </w:r>
                  <w:r>
                    <w:rPr>
                      <w:rFonts w:hint="eastAsia"/>
                      <w:sz w:val="21"/>
                      <w:szCs w:val="21"/>
                      <w:shd w:val="clear" w:color="auto" w:fill="FFFFFF"/>
                    </w:rPr>
                    <w:t>技术改造。强化煤化工、石化、有机化工、表面涂装、包装印刷等重点行业挥发性有机物控制。深入开展燃煤锅炉污染综合整治，深化工业炉窑综合治理。加强</w:t>
                  </w:r>
                  <w:r>
                    <w:rPr>
                      <w:sz w:val="21"/>
                      <w:szCs w:val="21"/>
                      <w:shd w:val="clear" w:color="auto" w:fill="FFFFFF"/>
                    </w:rPr>
                    <w:t>“</w:t>
                  </w:r>
                  <w:r>
                    <w:rPr>
                      <w:rFonts w:hint="eastAsia"/>
                      <w:sz w:val="21"/>
                      <w:szCs w:val="21"/>
                      <w:shd w:val="clear" w:color="auto" w:fill="FFFFFF"/>
                    </w:rPr>
                    <w:t>散乱污</w:t>
                  </w:r>
                  <w:r>
                    <w:rPr>
                      <w:sz w:val="21"/>
                      <w:szCs w:val="21"/>
                      <w:shd w:val="clear" w:color="auto" w:fill="FFFFFF"/>
                    </w:rPr>
                    <w:t>”</w:t>
                  </w:r>
                  <w:r>
                    <w:rPr>
                      <w:rFonts w:hint="eastAsia"/>
                      <w:sz w:val="21"/>
                      <w:szCs w:val="21"/>
                      <w:shd w:val="clear" w:color="auto" w:fill="FFFFFF"/>
                    </w:rPr>
                    <w:t>企业综合整治。优化区域交通运输结构，加快货物运输绿色转型，做好车油联合管控。以改善流域水环境质量为核心，强化源头控制，</w:t>
                  </w:r>
                  <w:r>
                    <w:rPr>
                      <w:sz w:val="21"/>
                      <w:szCs w:val="21"/>
                      <w:shd w:val="clear" w:color="auto" w:fill="FFFFFF"/>
                    </w:rPr>
                    <w:t>“</w:t>
                  </w:r>
                  <w:r>
                    <w:rPr>
                      <w:rFonts w:hint="eastAsia"/>
                      <w:sz w:val="21"/>
                      <w:szCs w:val="21"/>
                      <w:shd w:val="clear" w:color="auto" w:fill="FFFFFF"/>
                    </w:rPr>
                    <w:t>一河（湖）一策</w:t>
                  </w:r>
                  <w:r>
                    <w:rPr>
                      <w:sz w:val="21"/>
                      <w:szCs w:val="21"/>
                      <w:shd w:val="clear" w:color="auto" w:fill="FFFFFF"/>
                    </w:rPr>
                    <w:t>”</w:t>
                  </w:r>
                  <w:r>
                    <w:rPr>
                      <w:rFonts w:hint="eastAsia"/>
                      <w:sz w:val="21"/>
                      <w:szCs w:val="21"/>
                      <w:shd w:val="clear" w:color="auto" w:fill="FFFFFF"/>
                    </w:rPr>
                    <w:t>精准施治，减少水污染物排放，持续改善水环境质量。强化园区（工业集聚区）水污染防治，不断提高工业用水重复利用率。加快实施城镇污水处理设施提质增效，补齐生活污水收集和处理设施短板，提高再生水回用比例。持续推进农业农村污染防治。提升土壤环境监管能力，加强污染地块安全利用监管。强化工矿用地管理，严格建设用地土壤环境风险管控。加强农用地土壤污染源头控制，科学施用化肥农药，</w:t>
                  </w:r>
                </w:p>
                <w:p>
                  <w:pPr>
                    <w:widowControl/>
                    <w:spacing w:line="240" w:lineRule="auto"/>
                    <w:ind w:firstLine="0" w:firstLineChars="0"/>
                    <w:jc w:val="left"/>
                    <w:rPr>
                      <w:kern w:val="0"/>
                      <w:sz w:val="21"/>
                      <w:szCs w:val="21"/>
                    </w:rPr>
                  </w:pPr>
                  <w:r>
                    <w:rPr>
                      <w:rFonts w:hint="eastAsia"/>
                      <w:sz w:val="21"/>
                      <w:szCs w:val="21"/>
                      <w:shd w:val="clear" w:color="auto" w:fill="FFFFFF"/>
                    </w:rPr>
                    <w:t>提高农膜回收率。</w:t>
                  </w:r>
                </w:p>
              </w:tc>
              <w:tc>
                <w:tcPr>
                  <w:tcW w:w="1768" w:type="dxa"/>
                  <w:vAlign w:val="center"/>
                </w:tcPr>
                <w:p>
                  <w:pPr>
                    <w:widowControl/>
                    <w:spacing w:line="240" w:lineRule="auto"/>
                    <w:ind w:firstLine="0" w:firstLineChars="0"/>
                    <w:jc w:val="center"/>
                    <w:rPr>
                      <w:kern w:val="0"/>
                      <w:sz w:val="21"/>
                      <w:szCs w:val="21"/>
                    </w:rPr>
                  </w:pPr>
                  <w:r>
                    <w:rPr>
                      <w:rFonts w:hint="eastAsia"/>
                      <w:kern w:val="0"/>
                      <w:sz w:val="21"/>
                      <w:szCs w:val="21"/>
                    </w:rPr>
                    <w:t>本项目不属于火电</w:t>
                  </w:r>
                  <w:r>
                    <w:rPr>
                      <w:rFonts w:hint="eastAsia" w:ascii="宋体" w:hAnsi="宋体" w:cs="宋体"/>
                      <w:kern w:val="0"/>
                      <w:sz w:val="21"/>
                      <w:szCs w:val="21"/>
                    </w:rPr>
                    <w:t>、</w:t>
                  </w:r>
                  <w:r>
                    <w:rPr>
                      <w:rFonts w:hint="eastAsia"/>
                      <w:kern w:val="0"/>
                      <w:sz w:val="21"/>
                      <w:szCs w:val="21"/>
                    </w:rPr>
                    <w:t>钢铁</w:t>
                  </w:r>
                  <w:r>
                    <w:rPr>
                      <w:rFonts w:hint="eastAsia" w:ascii="宋体" w:hAnsi="宋体" w:cs="宋体"/>
                      <w:kern w:val="0"/>
                      <w:sz w:val="21"/>
                      <w:szCs w:val="21"/>
                    </w:rPr>
                    <w:t>、</w:t>
                  </w:r>
                  <w:r>
                    <w:rPr>
                      <w:rFonts w:hint="eastAsia"/>
                      <w:kern w:val="0"/>
                      <w:sz w:val="21"/>
                      <w:szCs w:val="21"/>
                    </w:rPr>
                    <w:t>石化等行业，本项目无钻井废水外排，洗井废水依托乌尔禾稀油站处理。本项目废气</w:t>
                  </w:r>
                  <w:r>
                    <w:rPr>
                      <w:rFonts w:hint="eastAsia" w:ascii="宋体" w:hAnsi="宋体" w:cs="宋体"/>
                      <w:kern w:val="0"/>
                      <w:sz w:val="21"/>
                      <w:szCs w:val="21"/>
                    </w:rPr>
                    <w:t>、</w:t>
                  </w:r>
                  <w:r>
                    <w:rPr>
                      <w:rFonts w:hint="eastAsia"/>
                      <w:kern w:val="0"/>
                      <w:sz w:val="21"/>
                      <w:szCs w:val="21"/>
                    </w:rPr>
                    <w:t>废水</w:t>
                  </w:r>
                  <w:r>
                    <w:rPr>
                      <w:rFonts w:hint="eastAsia" w:ascii="宋体" w:hAnsi="宋体" w:cs="宋体"/>
                      <w:kern w:val="0"/>
                      <w:sz w:val="21"/>
                      <w:szCs w:val="21"/>
                    </w:rPr>
                    <w:t>、</w:t>
                  </w:r>
                  <w:r>
                    <w:rPr>
                      <w:rFonts w:hint="eastAsia"/>
                      <w:kern w:val="0"/>
                      <w:sz w:val="21"/>
                      <w:szCs w:val="21"/>
                    </w:rPr>
                    <w:t>固体废物均能得到合理处置，符合北疆北部片区污染物排放管控要求。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sz w:val="21"/>
                      <w:szCs w:val="21"/>
                      <w:shd w:val="clear" w:color="auto" w:fill="FFFFFF"/>
                    </w:rPr>
                  </w:pPr>
                </w:p>
              </w:tc>
              <w:tc>
                <w:tcPr>
                  <w:tcW w:w="426" w:type="dxa"/>
                  <w:vMerge w:val="continue"/>
                  <w:vAlign w:val="center"/>
                </w:tcPr>
                <w:p>
                  <w:pPr>
                    <w:widowControl/>
                    <w:spacing w:line="240" w:lineRule="auto"/>
                    <w:ind w:firstLine="0" w:firstLineChars="0"/>
                    <w:jc w:val="center"/>
                    <w:rPr>
                      <w:kern w:val="0"/>
                      <w:sz w:val="21"/>
                      <w:szCs w:val="21"/>
                    </w:rPr>
                  </w:pPr>
                </w:p>
              </w:tc>
              <w:tc>
                <w:tcPr>
                  <w:tcW w:w="794" w:type="dxa"/>
                  <w:vAlign w:val="center"/>
                </w:tcPr>
                <w:p>
                  <w:pPr>
                    <w:widowControl/>
                    <w:spacing w:line="240" w:lineRule="auto"/>
                    <w:ind w:firstLine="0" w:firstLineChars="0"/>
                    <w:jc w:val="center"/>
                    <w:rPr>
                      <w:kern w:val="0"/>
                      <w:sz w:val="21"/>
                      <w:szCs w:val="21"/>
                    </w:rPr>
                  </w:pPr>
                  <w:r>
                    <w:rPr>
                      <w:rFonts w:hint="eastAsia"/>
                      <w:sz w:val="21"/>
                      <w:szCs w:val="21"/>
                      <w:shd w:val="clear" w:color="auto" w:fill="FFFFFF"/>
                    </w:rPr>
                    <w:t>环境风险防控</w:t>
                  </w:r>
                </w:p>
              </w:tc>
              <w:tc>
                <w:tcPr>
                  <w:tcW w:w="4564" w:type="dxa"/>
                  <w:vAlign w:val="center"/>
                </w:tcPr>
                <w:p>
                  <w:pPr>
                    <w:widowControl/>
                    <w:spacing w:line="240" w:lineRule="auto"/>
                    <w:ind w:firstLine="0" w:firstLineChars="0"/>
                    <w:jc w:val="left"/>
                    <w:rPr>
                      <w:kern w:val="0"/>
                      <w:sz w:val="21"/>
                      <w:szCs w:val="21"/>
                    </w:rPr>
                  </w:pPr>
                  <w:r>
                    <w:rPr>
                      <w:rFonts w:hint="eastAsia"/>
                      <w:sz w:val="21"/>
                      <w:szCs w:val="21"/>
                      <w:shd w:val="clear" w:color="auto" w:fill="FFFFFF"/>
                    </w:rPr>
                    <w:t>禁止在化工园区外新建、扩建危险化学品生产项目。严格落实危险废物处置相关要求。加强重点流域水环境风险管控，保障水环境安全。</w:t>
                  </w:r>
                </w:p>
              </w:tc>
              <w:tc>
                <w:tcPr>
                  <w:tcW w:w="1768" w:type="dxa"/>
                  <w:vAlign w:val="center"/>
                </w:tcPr>
                <w:p>
                  <w:pPr>
                    <w:widowControl/>
                    <w:spacing w:line="240" w:lineRule="auto"/>
                    <w:ind w:firstLine="0" w:firstLineChars="0"/>
                    <w:jc w:val="center"/>
                    <w:rPr>
                      <w:kern w:val="0"/>
                      <w:sz w:val="21"/>
                      <w:szCs w:val="21"/>
                    </w:rPr>
                  </w:pPr>
                  <w:r>
                    <w:rPr>
                      <w:rFonts w:hint="eastAsia"/>
                      <w:kern w:val="0"/>
                      <w:sz w:val="21"/>
                      <w:szCs w:val="21"/>
                    </w:rPr>
                    <w:t>本项目属于石油开采项目，不属于危险化学品生产项目，本项目无钻井废水外排，洗井废水依托乌尔禾稀油站处理。符合北疆北部片区</w:t>
                  </w:r>
                  <w:r>
                    <w:rPr>
                      <w:rFonts w:hint="eastAsia"/>
                      <w:sz w:val="21"/>
                      <w:szCs w:val="21"/>
                      <w:shd w:val="clear" w:color="auto" w:fill="FFFFFF"/>
                    </w:rPr>
                    <w:t>环境风险防控</w:t>
                  </w:r>
                  <w:r>
                    <w:rPr>
                      <w:rFonts w:hint="eastAsia"/>
                      <w:kern w:val="0"/>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sz w:val="21"/>
                      <w:szCs w:val="21"/>
                      <w:shd w:val="clear" w:color="auto" w:fill="FFFFFF"/>
                    </w:rPr>
                  </w:pPr>
                </w:p>
              </w:tc>
              <w:tc>
                <w:tcPr>
                  <w:tcW w:w="426" w:type="dxa"/>
                  <w:vMerge w:val="continue"/>
                  <w:vAlign w:val="center"/>
                </w:tcPr>
                <w:p>
                  <w:pPr>
                    <w:widowControl/>
                    <w:spacing w:line="240" w:lineRule="auto"/>
                    <w:ind w:firstLine="0" w:firstLineChars="0"/>
                    <w:jc w:val="center"/>
                    <w:rPr>
                      <w:kern w:val="0"/>
                      <w:sz w:val="21"/>
                      <w:szCs w:val="21"/>
                    </w:rPr>
                  </w:pPr>
                </w:p>
              </w:tc>
              <w:tc>
                <w:tcPr>
                  <w:tcW w:w="794" w:type="dxa"/>
                  <w:vAlign w:val="center"/>
                </w:tcPr>
                <w:p>
                  <w:pPr>
                    <w:widowControl/>
                    <w:spacing w:line="240" w:lineRule="auto"/>
                    <w:ind w:firstLine="0" w:firstLineChars="0"/>
                    <w:jc w:val="center"/>
                    <w:rPr>
                      <w:kern w:val="0"/>
                      <w:sz w:val="21"/>
                      <w:szCs w:val="21"/>
                    </w:rPr>
                  </w:pPr>
                  <w:r>
                    <w:rPr>
                      <w:rFonts w:hint="eastAsia"/>
                      <w:sz w:val="21"/>
                      <w:szCs w:val="21"/>
                      <w:shd w:val="clear" w:color="auto" w:fill="FFFFFF"/>
                    </w:rPr>
                    <w:t>资源利用效率要求</w:t>
                  </w:r>
                </w:p>
              </w:tc>
              <w:tc>
                <w:tcPr>
                  <w:tcW w:w="4564" w:type="dxa"/>
                  <w:vAlign w:val="center"/>
                </w:tcPr>
                <w:p>
                  <w:pPr>
                    <w:widowControl/>
                    <w:spacing w:line="240" w:lineRule="auto"/>
                    <w:ind w:firstLine="0" w:firstLineChars="0"/>
                    <w:jc w:val="left"/>
                    <w:rPr>
                      <w:kern w:val="0"/>
                      <w:sz w:val="21"/>
                      <w:szCs w:val="21"/>
                    </w:rPr>
                  </w:pPr>
                  <w:r>
                    <w:rPr>
                      <w:rFonts w:hint="eastAsia"/>
                      <w:sz w:val="21"/>
                      <w:szCs w:val="21"/>
                      <w:shd w:val="clear" w:color="auto" w:fill="FFFFFF"/>
                    </w:rPr>
                    <w:t>优化能源结构，控制煤炭等化石能源使用量，鼓励使用清洁能源，协同推进减污降碳。全面实施节水工程，合理开发利用水资源，提升水资源利用效率，保障生态用水，严防地下水超采。</w:t>
                  </w:r>
                </w:p>
              </w:tc>
              <w:tc>
                <w:tcPr>
                  <w:tcW w:w="1768" w:type="dxa"/>
                  <w:vAlign w:val="center"/>
                </w:tcPr>
                <w:p>
                  <w:pPr>
                    <w:widowControl/>
                    <w:spacing w:line="240" w:lineRule="auto"/>
                    <w:ind w:firstLine="0" w:firstLineChars="0"/>
                    <w:jc w:val="center"/>
                    <w:rPr>
                      <w:kern w:val="0"/>
                      <w:sz w:val="21"/>
                      <w:szCs w:val="21"/>
                    </w:rPr>
                  </w:pPr>
                  <w:r>
                    <w:rPr>
                      <w:rFonts w:hint="eastAsia"/>
                      <w:kern w:val="0"/>
                      <w:sz w:val="21"/>
                      <w:szCs w:val="21"/>
                    </w:rPr>
                    <w:t>本项目属于石油开采项目，不涉及化石能源使用，不属于地下水开采项目，符合北疆北部片区</w:t>
                  </w:r>
                  <w:r>
                    <w:rPr>
                      <w:rFonts w:hint="eastAsia"/>
                      <w:sz w:val="21"/>
                      <w:szCs w:val="21"/>
                      <w:shd w:val="clear" w:color="auto" w:fill="FFFFFF"/>
                    </w:rPr>
                    <w:t>资源利用效率要求</w:t>
                  </w:r>
                  <w:r>
                    <w:rPr>
                      <w:rFonts w:hint="eastAsia"/>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Merge w:val="continue"/>
                  <w:vAlign w:val="center"/>
                </w:tcPr>
                <w:p>
                  <w:pPr>
                    <w:widowControl/>
                    <w:spacing w:line="240" w:lineRule="auto"/>
                    <w:ind w:firstLine="0" w:firstLineChars="0"/>
                    <w:jc w:val="left"/>
                    <w:rPr>
                      <w:sz w:val="21"/>
                      <w:szCs w:val="21"/>
                      <w:shd w:val="clear" w:color="auto" w:fill="FFFFFF"/>
                    </w:rPr>
                  </w:pPr>
                </w:p>
              </w:tc>
              <w:tc>
                <w:tcPr>
                  <w:tcW w:w="1220" w:type="dxa"/>
                  <w:gridSpan w:val="2"/>
                  <w:vAlign w:val="center"/>
                </w:tcPr>
                <w:p>
                  <w:pPr>
                    <w:widowControl/>
                    <w:spacing w:line="240" w:lineRule="auto"/>
                    <w:ind w:firstLine="0" w:firstLineChars="0"/>
                    <w:jc w:val="center"/>
                    <w:rPr>
                      <w:sz w:val="21"/>
                      <w:szCs w:val="21"/>
                      <w:shd w:val="clear" w:color="auto" w:fill="FFFFFF"/>
                    </w:rPr>
                  </w:pPr>
                  <w:r>
                    <w:rPr>
                      <w:rFonts w:hint="eastAsia"/>
                      <w:sz w:val="21"/>
                      <w:szCs w:val="21"/>
                      <w:shd w:val="clear" w:color="auto" w:fill="FFFFFF"/>
                    </w:rPr>
                    <w:t>片区管控要求</w:t>
                  </w:r>
                </w:p>
              </w:tc>
              <w:tc>
                <w:tcPr>
                  <w:tcW w:w="4564" w:type="dxa"/>
                  <w:vAlign w:val="center"/>
                </w:tcPr>
                <w:p>
                  <w:pPr>
                    <w:spacing w:line="240" w:lineRule="auto"/>
                    <w:ind w:firstLine="0" w:firstLineChars="0"/>
                    <w:rPr>
                      <w:sz w:val="21"/>
                      <w:szCs w:val="21"/>
                      <w:shd w:val="clear" w:color="auto" w:fill="FFFFFF"/>
                    </w:rPr>
                  </w:pPr>
                  <w:r>
                    <w:rPr>
                      <w:rFonts w:hint="eastAsia"/>
                      <w:sz w:val="21"/>
                      <w:szCs w:val="21"/>
                      <w:shd w:val="clear" w:color="auto" w:fill="FFFFFF"/>
                    </w:rPr>
                    <w:t>加强对阿尔泰山西北部喀纳斯自然景观及南泰加林生态功能区内湖泊、湿地、森林和野生动植物保护，维护阿尔泰山、准噶尔西部山地等水源涵养功能和生物多样性功能。加大区域建设与管理力度，实现生态环境保护、矿产资源开发、旅游与畜牧业协调发展。</w:t>
                  </w:r>
                </w:p>
                <w:p>
                  <w:pPr>
                    <w:spacing w:line="240" w:lineRule="auto"/>
                    <w:ind w:firstLine="0" w:firstLineChars="0"/>
                    <w:rPr>
                      <w:sz w:val="21"/>
                      <w:szCs w:val="21"/>
                      <w:shd w:val="clear" w:color="auto" w:fill="FFFFFF"/>
                    </w:rPr>
                  </w:pPr>
                  <w:r>
                    <w:rPr>
                      <w:rFonts w:hint="eastAsia"/>
                      <w:sz w:val="21"/>
                      <w:szCs w:val="21"/>
                      <w:shd w:val="clear" w:color="auto" w:fill="FFFFFF"/>
                    </w:rPr>
                    <w:t>巩固塔额盆地绿洲农业生态功能区基本农田土壤环境质量。积极推进地下水超采治理，逐步压减超采量，实现地下水采补平衡。</w:t>
                  </w:r>
                </w:p>
                <w:p>
                  <w:pPr>
                    <w:spacing w:line="240" w:lineRule="auto"/>
                    <w:ind w:firstLine="0" w:firstLineChars="0"/>
                    <w:rPr>
                      <w:sz w:val="21"/>
                      <w:szCs w:val="21"/>
                      <w:shd w:val="clear" w:color="auto" w:fill="FFFFFF"/>
                    </w:rPr>
                  </w:pPr>
                  <w:r>
                    <w:rPr>
                      <w:rFonts w:hint="eastAsia"/>
                      <w:sz w:val="21"/>
                      <w:szCs w:val="21"/>
                      <w:shd w:val="clear" w:color="auto" w:fill="FFFFFF"/>
                    </w:rPr>
                    <w:t>强化额尔齐斯河、额敏河等跨界河流突发水环境污染事故的环境风险防控；严格管控河流两岸汇水区内分布的排污口、尾矿库以及沿河公路段危险品运输、上游山区段矿产资源开发等活动，建立风险防控体系。加强废弃矿区土壤重金属污染风险管控及修复治理。</w:t>
                  </w:r>
                </w:p>
              </w:tc>
              <w:tc>
                <w:tcPr>
                  <w:tcW w:w="1768" w:type="dxa"/>
                  <w:vAlign w:val="center"/>
                </w:tcPr>
                <w:p>
                  <w:pPr>
                    <w:widowControl/>
                    <w:spacing w:line="240" w:lineRule="auto"/>
                    <w:ind w:firstLine="0" w:firstLineChars="0"/>
                    <w:jc w:val="center"/>
                    <w:rPr>
                      <w:kern w:val="0"/>
                      <w:sz w:val="21"/>
                      <w:szCs w:val="21"/>
                    </w:rPr>
                  </w:pPr>
                  <w:r>
                    <w:rPr>
                      <w:rFonts w:hint="eastAsia"/>
                      <w:kern w:val="0"/>
                      <w:sz w:val="21"/>
                      <w:szCs w:val="21"/>
                    </w:rPr>
                    <w:t>本项目属于石油开采项目，为矿产资源开发，本项目不占用基本农田，不属于地下水开采项目，符合北疆北部</w:t>
                  </w:r>
                  <w:r>
                    <w:rPr>
                      <w:rFonts w:hint="eastAsia"/>
                      <w:sz w:val="21"/>
                      <w:szCs w:val="21"/>
                      <w:shd w:val="clear" w:color="auto" w:fill="FFFFFF"/>
                    </w:rPr>
                    <w:t>片区管控要求</w:t>
                  </w:r>
                  <w:r>
                    <w:rPr>
                      <w:rFonts w:hint="eastAsia"/>
                      <w:kern w:val="0"/>
                      <w:sz w:val="21"/>
                      <w:szCs w:val="21"/>
                    </w:rPr>
                    <w:t>。</w:t>
                  </w:r>
                </w:p>
              </w:tc>
            </w:tr>
          </w:tbl>
          <w:p>
            <w:pPr>
              <w:ind w:firstLine="480"/>
            </w:pPr>
            <w:r>
              <w:rPr>
                <w:rFonts w:hint="eastAsia"/>
              </w:rPr>
              <w:t>（1）</w:t>
            </w:r>
            <w:r>
              <w:t>生态保护红线</w:t>
            </w:r>
          </w:p>
          <w:p>
            <w:pPr>
              <w:ind w:firstLine="480"/>
            </w:pPr>
            <w:r>
              <w:t>本项目位于新疆</w:t>
            </w:r>
            <w:r>
              <w:rPr>
                <w:rFonts w:hint="eastAsia"/>
              </w:rPr>
              <w:t>塔城地区和布克赛尔蒙古自治县。</w:t>
            </w:r>
          </w:p>
          <w:p>
            <w:pPr>
              <w:ind w:firstLine="480"/>
            </w:pPr>
            <w:r>
              <w:rPr>
                <w:rFonts w:hint="eastAsia"/>
              </w:rPr>
              <w:t>根据《塔城地区“三线一单”生态环境分区管控方案》（塔行发</w:t>
            </w:r>
            <w:r>
              <w:rPr>
                <w:rFonts w:hint="eastAsia"/>
                <w:bCs/>
              </w:rPr>
              <w:t>〔</w:t>
            </w:r>
            <w:r>
              <w:rPr>
                <w:rFonts w:hint="eastAsia"/>
              </w:rPr>
              <w:t>2021</w:t>
            </w:r>
            <w:r>
              <w:rPr>
                <w:rFonts w:hint="eastAsia"/>
                <w:bCs/>
              </w:rPr>
              <w:t>〕</w:t>
            </w:r>
            <w:r>
              <w:rPr>
                <w:rFonts w:hint="eastAsia"/>
              </w:rPr>
              <w:t>48号），用地周围无国家公园、自然保护区、森林公园的生态保育区和核心景观区、地质公园的地质遗迹保护区、世界自然遗产的核心区和缓冲区、湿地公园的湿地保育区和恢复重建区、饮用水水源的一级保护区、水产种质资源保护区的核心区以及其他类型禁止开发区的核心保护区域。项目建设不会占用生态红线保护区。</w:t>
            </w:r>
          </w:p>
          <w:p>
            <w:pPr>
              <w:ind w:firstLine="480"/>
            </w:pPr>
            <w:r>
              <w:t>（2）环境质量底线</w:t>
            </w:r>
          </w:p>
          <w:p>
            <w:pPr>
              <w:ind w:firstLine="480"/>
            </w:pPr>
            <w:r>
              <w:t>项目实施后产生的废气、废水、噪声等虽然对环境造成一定的负面影响，但影响程度很小，不会改变环境功能区，能够严守环境质量底线。</w:t>
            </w:r>
          </w:p>
          <w:p>
            <w:pPr>
              <w:ind w:firstLine="480"/>
            </w:pPr>
            <w:r>
              <w:t>（3）资源利用上线</w:t>
            </w:r>
          </w:p>
          <w:p>
            <w:pPr>
              <w:ind w:firstLine="480"/>
            </w:pPr>
            <w:r>
              <w:t>本项目为陆地矿产资源勘查项目，无运营期。项目建设占用土地资源相对区域资源利用较少，项目施工期较短，水资源消耗量较少，符合资源利用上限的要求。</w:t>
            </w:r>
          </w:p>
          <w:p>
            <w:pPr>
              <w:ind w:firstLine="480"/>
            </w:pPr>
            <w:r>
              <w:t>（4）生态环境准入清单</w:t>
            </w:r>
          </w:p>
          <w:p>
            <w:pPr>
              <w:ind w:firstLine="480"/>
            </w:pPr>
            <w:r>
              <w:t>本项目与塔城地区和布克赛尔蒙古自治县环境管控单元生态环境准入清单（</w:t>
            </w:r>
            <w:r>
              <w:rPr>
                <w:rFonts w:hint="eastAsia"/>
              </w:rPr>
              <w:t>一般管控单元04</w:t>
            </w:r>
            <w:r>
              <w:t>，管控单元编码为：ZH65420130003）符合性分析见表1-</w:t>
            </w:r>
            <w:r>
              <w:rPr>
                <w:rFonts w:hint="eastAsia"/>
              </w:rPr>
              <w:t>5</w:t>
            </w:r>
            <w:r>
              <w:t>。</w:t>
            </w:r>
            <w:r>
              <w:rPr>
                <w:rFonts w:hint="eastAsia"/>
              </w:rPr>
              <w:t>本项目与塔城地区生态环境分区管控单元位置关系，详见图1-1。</w:t>
            </w:r>
          </w:p>
          <w:p>
            <w:pPr>
              <w:pStyle w:val="2"/>
              <w:spacing w:line="360" w:lineRule="auto"/>
            </w:pPr>
            <w:r>
              <w:t>表1-</w:t>
            </w:r>
            <w:r>
              <w:rPr>
                <w:rFonts w:hint="eastAsia"/>
              </w:rPr>
              <w:t>5</w:t>
            </w:r>
            <w:r>
              <w:t xml:space="preserve">  和布克赛尔蒙古自治县环境管控单元生态环境准入清单（一般管控单元）</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696"/>
              <w:gridCol w:w="596"/>
              <w:gridCol w:w="3059"/>
              <w:gridCol w:w="2426"/>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 w:type="pct"/>
                  <w:vAlign w:val="center"/>
                </w:tcPr>
                <w:p>
                  <w:pPr>
                    <w:pStyle w:val="20"/>
                    <w:rPr>
                      <w:b/>
                      <w:bCs/>
                    </w:rPr>
                  </w:pPr>
                  <w:r>
                    <w:rPr>
                      <w:b/>
                      <w:bCs/>
                    </w:rPr>
                    <w:t>序号</w:t>
                  </w:r>
                </w:p>
              </w:tc>
              <w:tc>
                <w:tcPr>
                  <w:tcW w:w="2700" w:type="pct"/>
                  <w:gridSpan w:val="3"/>
                  <w:vAlign w:val="center"/>
                </w:tcPr>
                <w:p>
                  <w:pPr>
                    <w:pStyle w:val="20"/>
                    <w:rPr>
                      <w:b/>
                      <w:bCs/>
                    </w:rPr>
                  </w:pPr>
                  <w:r>
                    <w:rPr>
                      <w:b/>
                      <w:bCs/>
                    </w:rPr>
                    <w:t>管控要求</w:t>
                  </w:r>
                </w:p>
              </w:tc>
              <w:tc>
                <w:tcPr>
                  <w:tcW w:w="1505" w:type="pct"/>
                  <w:vAlign w:val="center"/>
                </w:tcPr>
                <w:p>
                  <w:pPr>
                    <w:pStyle w:val="20"/>
                    <w:rPr>
                      <w:b/>
                      <w:bCs/>
                    </w:rPr>
                  </w:pPr>
                  <w:r>
                    <w:rPr>
                      <w:b/>
                      <w:bCs/>
                    </w:rPr>
                    <w:t>本项目</w:t>
                  </w:r>
                </w:p>
              </w:tc>
              <w:tc>
                <w:tcPr>
                  <w:tcW w:w="474" w:type="pct"/>
                  <w:vAlign w:val="center"/>
                </w:tcPr>
                <w:p>
                  <w:pPr>
                    <w:pStyle w:val="20"/>
                    <w:rPr>
                      <w:b/>
                      <w:bCs/>
                    </w:rPr>
                  </w:pPr>
                  <w:r>
                    <w:rPr>
                      <w:rFonts w:hint="eastAsia"/>
                      <w:b/>
                      <w:bCs/>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3" w:hRule="atLeast"/>
              </w:trPr>
              <w:tc>
                <w:tcPr>
                  <w:tcW w:w="319" w:type="pct"/>
                  <w:vMerge w:val="restart"/>
                  <w:vAlign w:val="center"/>
                </w:tcPr>
                <w:p>
                  <w:pPr>
                    <w:pStyle w:val="20"/>
                  </w:pPr>
                  <w:r>
                    <w:t>1</w:t>
                  </w:r>
                </w:p>
              </w:tc>
              <w:tc>
                <w:tcPr>
                  <w:tcW w:w="432" w:type="pct"/>
                  <w:vMerge w:val="restart"/>
                  <w:vAlign w:val="center"/>
                </w:tcPr>
                <w:p>
                  <w:pPr>
                    <w:pStyle w:val="20"/>
                  </w:pPr>
                  <w:r>
                    <w:t>塔城地区管控要求</w:t>
                  </w:r>
                </w:p>
              </w:tc>
              <w:tc>
                <w:tcPr>
                  <w:tcW w:w="370" w:type="pct"/>
                  <w:vAlign w:val="center"/>
                </w:tcPr>
                <w:p>
                  <w:pPr>
                    <w:pStyle w:val="20"/>
                  </w:pPr>
                  <w:r>
                    <w:t>空间布局约束</w:t>
                  </w:r>
                </w:p>
              </w:tc>
              <w:tc>
                <w:tcPr>
                  <w:tcW w:w="1897" w:type="pct"/>
                  <w:vAlign w:val="center"/>
                </w:tcPr>
                <w:p>
                  <w:pPr>
                    <w:pStyle w:val="20"/>
                  </w:pPr>
                  <w:r>
                    <w:t>严禁“三高”项目进塔城，对石化、有色、钢铁、建材、火电、煤炭、装备、纺织服装、轻工、电子产品制造十大产业类型，做好禁止类项目管控工作。</w:t>
                  </w:r>
                </w:p>
              </w:tc>
              <w:tc>
                <w:tcPr>
                  <w:tcW w:w="1505" w:type="pct"/>
                  <w:vAlign w:val="center"/>
                </w:tcPr>
                <w:p>
                  <w:pPr>
                    <w:pStyle w:val="20"/>
                  </w:pPr>
                  <w:r>
                    <w:t>本项目不属于“三高”及其他所列十大行业。</w:t>
                  </w:r>
                </w:p>
              </w:tc>
              <w:tc>
                <w:tcPr>
                  <w:tcW w:w="474"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319" w:type="pct"/>
                  <w:vMerge w:val="continue"/>
                  <w:vAlign w:val="center"/>
                </w:tcPr>
                <w:p>
                  <w:pPr>
                    <w:pStyle w:val="20"/>
                  </w:pPr>
                </w:p>
              </w:tc>
              <w:tc>
                <w:tcPr>
                  <w:tcW w:w="432" w:type="pct"/>
                  <w:vMerge w:val="continue"/>
                  <w:vAlign w:val="center"/>
                </w:tcPr>
                <w:p>
                  <w:pPr>
                    <w:pStyle w:val="20"/>
                  </w:pPr>
                </w:p>
              </w:tc>
              <w:tc>
                <w:tcPr>
                  <w:tcW w:w="370" w:type="pct"/>
                  <w:vMerge w:val="restart"/>
                  <w:vAlign w:val="center"/>
                </w:tcPr>
                <w:p>
                  <w:pPr>
                    <w:pStyle w:val="20"/>
                  </w:pPr>
                  <w:r>
                    <w:rPr>
                      <w:rFonts w:hint="eastAsia"/>
                    </w:rPr>
                    <w:t>污染物排放管控</w:t>
                  </w:r>
                </w:p>
              </w:tc>
              <w:tc>
                <w:tcPr>
                  <w:tcW w:w="1897" w:type="pct"/>
                  <w:vAlign w:val="center"/>
                </w:tcPr>
                <w:p>
                  <w:pPr>
                    <w:pStyle w:val="20"/>
                  </w:pPr>
                  <w:r>
                    <w:t>持续推进涉气工业污染源全面达标排放</w:t>
                  </w:r>
                  <w:r>
                    <w:rPr>
                      <w:rFonts w:hint="eastAsia"/>
                    </w:rPr>
                    <w:t>，</w:t>
                  </w:r>
                  <w:r>
                    <w:t>将烟气在线监测数据作为执法依据</w:t>
                  </w:r>
                  <w:r>
                    <w:rPr>
                      <w:rFonts w:hint="eastAsia"/>
                    </w:rPr>
                    <w:t>，</w:t>
                  </w:r>
                  <w:r>
                    <w:t>加大超标处罚和联合惩戒力度</w:t>
                  </w:r>
                  <w:r>
                    <w:rPr>
                      <w:rFonts w:hint="eastAsia"/>
                    </w:rPr>
                    <w:t>，</w:t>
                  </w:r>
                  <w:r>
                    <w:t>未达标的企业一律依法停产整治</w:t>
                  </w:r>
                  <w:r>
                    <w:rPr>
                      <w:rFonts w:hint="eastAsia"/>
                    </w:rPr>
                    <w:t>，</w:t>
                  </w:r>
                  <w:r>
                    <w:t>积极推进控制污染物排放许可制。</w:t>
                  </w:r>
                </w:p>
              </w:tc>
              <w:tc>
                <w:tcPr>
                  <w:tcW w:w="1505" w:type="pct"/>
                  <w:vAlign w:val="center"/>
                </w:tcPr>
                <w:p>
                  <w:pPr>
                    <w:pStyle w:val="20"/>
                  </w:pPr>
                  <w:r>
                    <w:rPr>
                      <w:rFonts w:hint="eastAsia"/>
                    </w:rPr>
                    <w:t>本项目采用高品质的柴油、添加柴油助燃剂等措施，降低柴油燃烧污染物的排放；施工扬尘采用洒水抑尘措施；各类机械设备均使用符合国家标准的燃料，减少机械排放废气和运输车辆尾气的排放，钻井期间排放的大气污染物将随钻井工程的结束而消失；伴生气燃烧废气通过放散管充分燃烧放空，通过放散管放空产生的污染物较少，随试油期结束而终止；采用底部装载或顶部浸没式装载方式，出口管口距离罐底部高度应小于200mm，减少临时储罐和采出液装载过程无组织排放废气排放，且采出液装载仅在试油期进行，随试油期结束而终止。</w:t>
                  </w:r>
                </w:p>
              </w:tc>
              <w:tc>
                <w:tcPr>
                  <w:tcW w:w="474" w:type="pct"/>
                  <w:vAlign w:val="center"/>
                </w:tcPr>
                <w:p>
                  <w:pPr>
                    <w:pStyle w:val="20"/>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319" w:type="pct"/>
                  <w:vMerge w:val="continue"/>
                  <w:vAlign w:val="center"/>
                </w:tcPr>
                <w:p>
                  <w:pPr>
                    <w:pStyle w:val="20"/>
                  </w:pPr>
                </w:p>
              </w:tc>
              <w:tc>
                <w:tcPr>
                  <w:tcW w:w="432" w:type="pct"/>
                  <w:vMerge w:val="continue"/>
                  <w:vAlign w:val="center"/>
                </w:tcPr>
                <w:p>
                  <w:pPr>
                    <w:pStyle w:val="20"/>
                  </w:pPr>
                </w:p>
              </w:tc>
              <w:tc>
                <w:tcPr>
                  <w:tcW w:w="370" w:type="pct"/>
                  <w:vMerge w:val="continue"/>
                  <w:vAlign w:val="center"/>
                </w:tcPr>
                <w:p>
                  <w:pPr>
                    <w:pStyle w:val="20"/>
                  </w:pPr>
                </w:p>
              </w:tc>
              <w:tc>
                <w:tcPr>
                  <w:tcW w:w="1897" w:type="pct"/>
                  <w:vAlign w:val="center"/>
                </w:tcPr>
                <w:p>
                  <w:pPr>
                    <w:pStyle w:val="20"/>
                  </w:pPr>
                  <w:r>
                    <w:t>对未完成上一年度主要污染物总量减排目标的地区</w:t>
                  </w:r>
                  <w:r>
                    <w:rPr>
                      <w:rFonts w:hint="eastAsia"/>
                    </w:rPr>
                    <w:t>（企业）</w:t>
                  </w:r>
                  <w:r>
                    <w:t>或未完成大气环境质量目标的地区</w:t>
                  </w:r>
                  <w:r>
                    <w:rPr>
                      <w:rFonts w:hint="eastAsia"/>
                    </w:rPr>
                    <w:t>，</w:t>
                  </w:r>
                  <w:r>
                    <w:t>暂停该地区(企业)新增相关污染物排放建设项目的环评审批。</w:t>
                  </w:r>
                </w:p>
              </w:tc>
              <w:tc>
                <w:tcPr>
                  <w:tcW w:w="1505" w:type="pct"/>
                  <w:vAlign w:val="center"/>
                </w:tcPr>
                <w:p>
                  <w:pPr>
                    <w:pStyle w:val="20"/>
                  </w:pPr>
                  <w:r>
                    <w:rPr>
                      <w:rFonts w:hint="eastAsia"/>
                    </w:rPr>
                    <w:t>本项目不申报总量控制指标，符合污染物排放管控要求。</w:t>
                  </w:r>
                </w:p>
              </w:tc>
              <w:tc>
                <w:tcPr>
                  <w:tcW w:w="474" w:type="pct"/>
                  <w:vAlign w:val="center"/>
                </w:tcPr>
                <w:p>
                  <w:pPr>
                    <w:pStyle w:val="20"/>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0" w:hRule="atLeast"/>
              </w:trPr>
              <w:tc>
                <w:tcPr>
                  <w:tcW w:w="319" w:type="pct"/>
                  <w:vMerge w:val="continue"/>
                  <w:vAlign w:val="center"/>
                </w:tcPr>
                <w:p>
                  <w:pPr>
                    <w:pStyle w:val="20"/>
                  </w:pPr>
                </w:p>
              </w:tc>
              <w:tc>
                <w:tcPr>
                  <w:tcW w:w="432" w:type="pct"/>
                  <w:vMerge w:val="continue"/>
                  <w:vAlign w:val="center"/>
                </w:tcPr>
                <w:p>
                  <w:pPr>
                    <w:pStyle w:val="20"/>
                  </w:pPr>
                </w:p>
              </w:tc>
              <w:tc>
                <w:tcPr>
                  <w:tcW w:w="370" w:type="pct"/>
                  <w:vMerge w:val="continue"/>
                  <w:vAlign w:val="center"/>
                </w:tcPr>
                <w:p>
                  <w:pPr>
                    <w:pStyle w:val="20"/>
                  </w:pPr>
                </w:p>
              </w:tc>
              <w:tc>
                <w:tcPr>
                  <w:tcW w:w="1897" w:type="pct"/>
                  <w:vAlign w:val="center"/>
                </w:tcPr>
                <w:p>
                  <w:pPr>
                    <w:pStyle w:val="20"/>
                  </w:pPr>
                  <w:r>
                    <w:t>严控工业污染源</w:t>
                  </w:r>
                  <w:r>
                    <w:rPr>
                      <w:rFonts w:hint="eastAsia"/>
                    </w:rPr>
                    <w:t>，</w:t>
                  </w:r>
                  <w:r>
                    <w:t>做好土壤污染预防工作。开展土壤环境监督性监测。根据工矿企业分布和污染排放情况</w:t>
                  </w:r>
                  <w:r>
                    <w:rPr>
                      <w:rFonts w:hint="eastAsia"/>
                    </w:rPr>
                    <w:t>，</w:t>
                  </w:r>
                  <w:r>
                    <w:t>加强对有色金属采选、冶炼、石油、焦化、化工、危险废物处置以及污水处理厂的重点排查、监控和治理。</w:t>
                  </w:r>
                </w:p>
              </w:tc>
              <w:tc>
                <w:tcPr>
                  <w:tcW w:w="1505" w:type="pct"/>
                  <w:vAlign w:val="center"/>
                </w:tcPr>
                <w:p>
                  <w:pPr>
                    <w:pStyle w:val="20"/>
                  </w:pPr>
                  <w:r>
                    <w:rPr>
                      <w:rFonts w:hint="eastAsia"/>
                    </w:rPr>
                    <w:t>①本项目事故状态下产生的落地油集中收集后交由有相应处理资质的单位进行处置；机械设备产生的废机油由钻井单位用专用罐集中收集后交由有危废处置资质的单位处置；破损废弃的防渗膜委托危废处置资质的单位处置。②本项目无钻井废水外排，洗井废水依托乌尔禾稀油站处理。</w:t>
                  </w:r>
                </w:p>
              </w:tc>
              <w:tc>
                <w:tcPr>
                  <w:tcW w:w="474" w:type="pct"/>
                  <w:vAlign w:val="center"/>
                </w:tcPr>
                <w:p>
                  <w:pPr>
                    <w:pStyle w:val="20"/>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trPr>
              <w:tc>
                <w:tcPr>
                  <w:tcW w:w="319" w:type="pct"/>
                  <w:vMerge w:val="continue"/>
                  <w:vAlign w:val="center"/>
                </w:tcPr>
                <w:p>
                  <w:pPr>
                    <w:pStyle w:val="20"/>
                  </w:pPr>
                </w:p>
              </w:tc>
              <w:tc>
                <w:tcPr>
                  <w:tcW w:w="432" w:type="pct"/>
                  <w:vMerge w:val="continue"/>
                  <w:vAlign w:val="center"/>
                </w:tcPr>
                <w:p>
                  <w:pPr>
                    <w:pStyle w:val="20"/>
                  </w:pPr>
                </w:p>
              </w:tc>
              <w:tc>
                <w:tcPr>
                  <w:tcW w:w="370" w:type="pct"/>
                  <w:vAlign w:val="center"/>
                </w:tcPr>
                <w:p>
                  <w:pPr>
                    <w:pStyle w:val="20"/>
                  </w:pPr>
                  <w:r>
                    <w:rPr>
                      <w:rFonts w:hint="eastAsia"/>
                    </w:rPr>
                    <w:t>环境风险防控</w:t>
                  </w:r>
                </w:p>
              </w:tc>
              <w:tc>
                <w:tcPr>
                  <w:tcW w:w="1897" w:type="pct"/>
                  <w:vAlign w:val="center"/>
                </w:tcPr>
                <w:p>
                  <w:pPr>
                    <w:pStyle w:val="20"/>
                  </w:pPr>
                  <w:r>
                    <w:t>优先保护类耕地集中区域现有可能造成土壤污染的相关行业企业应当按照有关规定采取措施</w:t>
                  </w:r>
                  <w:r>
                    <w:rPr>
                      <w:rFonts w:hint="eastAsia"/>
                    </w:rPr>
                    <w:t>，</w:t>
                  </w:r>
                  <w:r>
                    <w:t>防止对耕地造成污染。推行秸秆还田、化肥农药减量化、增施有机肥、少耕免耕与轮作、农膜减量与回收利用等措施</w:t>
                  </w:r>
                  <w:r>
                    <w:rPr>
                      <w:rFonts w:hint="eastAsia"/>
                    </w:rPr>
                    <w:t>，</w:t>
                  </w:r>
                  <w:r>
                    <w:t>切实保护优先保护类耕地土壤环境质量。</w:t>
                  </w:r>
                </w:p>
              </w:tc>
              <w:tc>
                <w:tcPr>
                  <w:tcW w:w="1505" w:type="pct"/>
                  <w:vAlign w:val="center"/>
                </w:tcPr>
                <w:p>
                  <w:pPr>
                    <w:pStyle w:val="20"/>
                  </w:pPr>
                  <w:r>
                    <w:rPr>
                      <w:rFonts w:hint="eastAsia"/>
                    </w:rPr>
                    <w:t>本项目不占用耕地。</w:t>
                  </w:r>
                </w:p>
              </w:tc>
              <w:tc>
                <w:tcPr>
                  <w:tcW w:w="474" w:type="pct"/>
                  <w:vAlign w:val="center"/>
                </w:tcPr>
                <w:p>
                  <w:pPr>
                    <w:pStyle w:val="20"/>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 w:type="pct"/>
                  <w:vMerge w:val="continue"/>
                  <w:vAlign w:val="center"/>
                </w:tcPr>
                <w:p>
                  <w:pPr>
                    <w:pStyle w:val="20"/>
                  </w:pPr>
                </w:p>
              </w:tc>
              <w:tc>
                <w:tcPr>
                  <w:tcW w:w="432" w:type="pct"/>
                  <w:vMerge w:val="continue"/>
                  <w:vAlign w:val="center"/>
                </w:tcPr>
                <w:p>
                  <w:pPr>
                    <w:pStyle w:val="20"/>
                  </w:pPr>
                </w:p>
              </w:tc>
              <w:tc>
                <w:tcPr>
                  <w:tcW w:w="370" w:type="pct"/>
                  <w:vMerge w:val="restart"/>
                  <w:vAlign w:val="center"/>
                </w:tcPr>
                <w:p>
                  <w:pPr>
                    <w:pStyle w:val="20"/>
                  </w:pPr>
                  <w:r>
                    <w:rPr>
                      <w:rFonts w:hint="eastAsia"/>
                    </w:rPr>
                    <w:t>资源开发利用效率</w:t>
                  </w:r>
                </w:p>
              </w:tc>
              <w:tc>
                <w:tcPr>
                  <w:tcW w:w="1897" w:type="pct"/>
                  <w:vAlign w:val="center"/>
                </w:tcPr>
                <w:p>
                  <w:pPr>
                    <w:pStyle w:val="20"/>
                  </w:pPr>
                  <w:r>
                    <w:rPr>
                      <w:rFonts w:hint="eastAsia"/>
                    </w:rPr>
                    <w:t>持续推进电气化工作，制定实施地区清洁能源消纳行动计划，加大可再生能源消纳力度。</w:t>
                  </w:r>
                </w:p>
              </w:tc>
              <w:tc>
                <w:tcPr>
                  <w:tcW w:w="1505" w:type="pct"/>
                  <w:vAlign w:val="center"/>
                </w:tcPr>
                <w:p>
                  <w:pPr>
                    <w:pStyle w:val="20"/>
                  </w:pPr>
                  <w:r>
                    <w:t>本项目用水量较少，钻井采用“钻井泥浆不落地技术”，分离出的液相循环使用，不外排。</w:t>
                  </w:r>
                </w:p>
              </w:tc>
              <w:tc>
                <w:tcPr>
                  <w:tcW w:w="474" w:type="pct"/>
                  <w:vAlign w:val="center"/>
                </w:tcPr>
                <w:p>
                  <w:pPr>
                    <w:pStyle w:val="20"/>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 w:type="pct"/>
                  <w:vMerge w:val="continue"/>
                  <w:vAlign w:val="center"/>
                </w:tcPr>
                <w:p>
                  <w:pPr>
                    <w:pStyle w:val="20"/>
                  </w:pPr>
                </w:p>
              </w:tc>
              <w:tc>
                <w:tcPr>
                  <w:tcW w:w="432" w:type="pct"/>
                  <w:vMerge w:val="continue"/>
                  <w:vAlign w:val="center"/>
                </w:tcPr>
                <w:p>
                  <w:pPr>
                    <w:pStyle w:val="20"/>
                  </w:pPr>
                </w:p>
              </w:tc>
              <w:tc>
                <w:tcPr>
                  <w:tcW w:w="370" w:type="pct"/>
                  <w:vMerge w:val="continue"/>
                  <w:vAlign w:val="center"/>
                </w:tcPr>
                <w:p>
                  <w:pPr>
                    <w:pStyle w:val="20"/>
                  </w:pPr>
                </w:p>
              </w:tc>
              <w:tc>
                <w:tcPr>
                  <w:tcW w:w="1897" w:type="pct"/>
                  <w:vAlign w:val="center"/>
                </w:tcPr>
                <w:p>
                  <w:pPr>
                    <w:pStyle w:val="20"/>
                  </w:pPr>
                  <w:r>
                    <w:t>对地下水超采区采取高效节水、退灌减水、水源置换和机井封填等工程措施</w:t>
                  </w:r>
                  <w:r>
                    <w:rPr>
                      <w:rFonts w:hint="eastAsia"/>
                    </w:rPr>
                    <w:t>，</w:t>
                  </w:r>
                  <w:r>
                    <w:t>控制超采区地下水位下降速率。到2025年</w:t>
                  </w:r>
                  <w:r>
                    <w:rPr>
                      <w:rFonts w:hint="eastAsia"/>
                    </w:rPr>
                    <w:t>，</w:t>
                  </w:r>
                  <w:r>
                    <w:t>超采区地下水位下降速率最大值不超过0.50m/a</w:t>
                  </w:r>
                  <w:r>
                    <w:rPr>
                      <w:rFonts w:hint="eastAsia"/>
                    </w:rPr>
                    <w:t>，</w:t>
                  </w:r>
                  <w:r>
                    <w:t>平均水位下降速率不得超过0.20m/a</w:t>
                  </w:r>
                  <w:r>
                    <w:rPr>
                      <w:rFonts w:hint="eastAsia"/>
                    </w:rPr>
                    <w:t>；</w:t>
                  </w:r>
                  <w:r>
                    <w:t>到2030年</w:t>
                  </w:r>
                  <w:r>
                    <w:rPr>
                      <w:rFonts w:hint="eastAsia"/>
                    </w:rPr>
                    <w:t>，</w:t>
                  </w:r>
                  <w:r>
                    <w:t>全部超采区地下水位基本稳定</w:t>
                  </w:r>
                  <w:r>
                    <w:rPr>
                      <w:rFonts w:hint="eastAsia"/>
                    </w:rPr>
                    <w:t>，</w:t>
                  </w:r>
                  <w:r>
                    <w:t>超采区地下水位下降速率控制在0.10m/a以内</w:t>
                  </w:r>
                  <w:r>
                    <w:rPr>
                      <w:rFonts w:hint="eastAsia"/>
                    </w:rPr>
                    <w:t>。</w:t>
                  </w:r>
                </w:p>
              </w:tc>
              <w:tc>
                <w:tcPr>
                  <w:tcW w:w="1505" w:type="pct"/>
                  <w:vAlign w:val="center"/>
                </w:tcPr>
                <w:p>
                  <w:pPr>
                    <w:pStyle w:val="20"/>
                  </w:pPr>
                  <w:r>
                    <w:rPr>
                      <w:rFonts w:hint="eastAsia"/>
                    </w:rPr>
                    <w:t>项目用水从乌尔禾区拉运。资源消耗量总体相对区域资源利用总量较少，不会突破区域的资源利用上线。</w:t>
                  </w:r>
                </w:p>
              </w:tc>
              <w:tc>
                <w:tcPr>
                  <w:tcW w:w="474" w:type="pct"/>
                  <w:vAlign w:val="center"/>
                </w:tcPr>
                <w:p>
                  <w:pPr>
                    <w:pStyle w:val="20"/>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 w:type="pct"/>
                  <w:vMerge w:val="restart"/>
                  <w:vAlign w:val="center"/>
                </w:tcPr>
                <w:p>
                  <w:pPr>
                    <w:pStyle w:val="20"/>
                  </w:pPr>
                  <w:r>
                    <w:t>2</w:t>
                  </w:r>
                </w:p>
              </w:tc>
              <w:tc>
                <w:tcPr>
                  <w:tcW w:w="432" w:type="pct"/>
                  <w:vMerge w:val="restart"/>
                  <w:vAlign w:val="center"/>
                </w:tcPr>
                <w:p>
                  <w:pPr>
                    <w:pStyle w:val="20"/>
                  </w:pPr>
                  <w:r>
                    <w:t>和布克赛尔县管控要求</w:t>
                  </w:r>
                </w:p>
              </w:tc>
              <w:tc>
                <w:tcPr>
                  <w:tcW w:w="370" w:type="pct"/>
                  <w:vMerge w:val="restart"/>
                  <w:vAlign w:val="center"/>
                </w:tcPr>
                <w:p>
                  <w:pPr>
                    <w:pStyle w:val="20"/>
                  </w:pPr>
                  <w:r>
                    <w:t>空间布局约束</w:t>
                  </w:r>
                </w:p>
              </w:tc>
              <w:tc>
                <w:tcPr>
                  <w:tcW w:w="1897" w:type="pct"/>
                  <w:vAlign w:val="center"/>
                </w:tcPr>
                <w:p>
                  <w:pPr>
                    <w:pStyle w:val="20"/>
                  </w:pPr>
                  <w:r>
                    <w:t>一切开发建设活动应符合国家、自治区主体功能区规划、自治区和各地颁布实施的生态环境功能区划、国民经济发展规划、产业发展规划、城乡总体规划、土地利用规划等相关规划及重点生态功能区负面清单要求，符合区域或产业规划环评要求。</w:t>
                  </w:r>
                </w:p>
              </w:tc>
              <w:tc>
                <w:tcPr>
                  <w:tcW w:w="1505" w:type="pct"/>
                  <w:vAlign w:val="center"/>
                </w:tcPr>
                <w:p>
                  <w:pPr>
                    <w:pStyle w:val="20"/>
                  </w:pPr>
                  <w:r>
                    <w:t>项目建设符合国家、自治区生态功能区划、产业发展规划。</w:t>
                  </w:r>
                </w:p>
              </w:tc>
              <w:tc>
                <w:tcPr>
                  <w:tcW w:w="474"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319" w:type="pct"/>
                  <w:vMerge w:val="continue"/>
                  <w:vAlign w:val="center"/>
                </w:tcPr>
                <w:p>
                  <w:pPr>
                    <w:pStyle w:val="20"/>
                  </w:pPr>
                </w:p>
              </w:tc>
              <w:tc>
                <w:tcPr>
                  <w:tcW w:w="432" w:type="pct"/>
                  <w:vMerge w:val="continue"/>
                  <w:vAlign w:val="center"/>
                </w:tcPr>
                <w:p>
                  <w:pPr>
                    <w:pStyle w:val="20"/>
                  </w:pPr>
                </w:p>
              </w:tc>
              <w:tc>
                <w:tcPr>
                  <w:tcW w:w="370" w:type="pct"/>
                  <w:vMerge w:val="continue"/>
                  <w:vAlign w:val="center"/>
                </w:tcPr>
                <w:p>
                  <w:pPr>
                    <w:pStyle w:val="20"/>
                  </w:pPr>
                </w:p>
              </w:tc>
              <w:tc>
                <w:tcPr>
                  <w:tcW w:w="1897" w:type="pct"/>
                  <w:vAlign w:val="center"/>
                </w:tcPr>
                <w:p>
                  <w:pPr>
                    <w:pStyle w:val="20"/>
                  </w:pPr>
                  <w:r>
                    <w:t>重大项目原则上布局在优化开发区和重点开发区，并符合城乡规划和土地利用总体规划。</w:t>
                  </w:r>
                </w:p>
              </w:tc>
              <w:tc>
                <w:tcPr>
                  <w:tcW w:w="1505" w:type="pct"/>
                  <w:vAlign w:val="center"/>
                </w:tcPr>
                <w:p>
                  <w:pPr>
                    <w:pStyle w:val="20"/>
                  </w:pPr>
                  <w:r>
                    <w:t>项目建设位于新疆油田公司勘探开发范围内，按相关规定办理用地手续。</w:t>
                  </w:r>
                </w:p>
              </w:tc>
              <w:tc>
                <w:tcPr>
                  <w:tcW w:w="474" w:type="pct"/>
                  <w:vAlign w:val="center"/>
                </w:tcPr>
                <w:p>
                  <w:pPr>
                    <w:pStyle w:val="20"/>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 w:type="pct"/>
                  <w:vMerge w:val="continue"/>
                  <w:vAlign w:val="center"/>
                </w:tcPr>
                <w:p>
                  <w:pPr>
                    <w:pStyle w:val="20"/>
                  </w:pPr>
                </w:p>
              </w:tc>
              <w:tc>
                <w:tcPr>
                  <w:tcW w:w="432" w:type="pct"/>
                  <w:vMerge w:val="continue"/>
                  <w:vAlign w:val="center"/>
                </w:tcPr>
                <w:p>
                  <w:pPr>
                    <w:pStyle w:val="20"/>
                  </w:pPr>
                </w:p>
              </w:tc>
              <w:tc>
                <w:tcPr>
                  <w:tcW w:w="370" w:type="pct"/>
                  <w:vMerge w:val="continue"/>
                  <w:vAlign w:val="center"/>
                </w:tcPr>
                <w:p>
                  <w:pPr>
                    <w:pStyle w:val="20"/>
                  </w:pPr>
                </w:p>
              </w:tc>
              <w:tc>
                <w:tcPr>
                  <w:tcW w:w="1897" w:type="pct"/>
                  <w:vAlign w:val="center"/>
                </w:tcPr>
                <w:p>
                  <w:pPr>
                    <w:pStyle w:val="20"/>
                  </w:pPr>
                  <w:r>
                    <w:t>限制进行大规模高强度工业化城镇化开发，严格控制金属冶炼、石油化工、焦化等“高污染、高环境风险产品”工业项目，原则上不增加产能，现有“高污染、高环境风险产品”工业项目持续削减污染物排放总量并严格控制环境风险。原则上禁止建设涉及一类重金属、持久性有机污染物排放的工业项目。建立集镇居住商业区、耕地保护区与工业功能区等集聚区块之间的防护带。严格执行畜禽养殖禁养区规定，根据区域用地和消纳水平，合理确定养殖规模。加强基本农田保护，严格限制非农项目占用耕地。</w:t>
                  </w:r>
                </w:p>
              </w:tc>
              <w:tc>
                <w:tcPr>
                  <w:tcW w:w="1505" w:type="pct"/>
                  <w:vAlign w:val="center"/>
                </w:tcPr>
                <w:p>
                  <w:pPr>
                    <w:pStyle w:val="20"/>
                  </w:pPr>
                  <w:r>
                    <w:t>项目不属于“高污染、高环境风险产品”工业项目。</w:t>
                  </w:r>
                  <w:r>
                    <w:rPr>
                      <w:rFonts w:hint="eastAsia"/>
                    </w:rPr>
                    <w:t>本项目占地性质为其他草地，不占用耕地。</w:t>
                  </w:r>
                </w:p>
              </w:tc>
              <w:tc>
                <w:tcPr>
                  <w:tcW w:w="474" w:type="pct"/>
                  <w:vAlign w:val="center"/>
                </w:tcPr>
                <w:p>
                  <w:pPr>
                    <w:pStyle w:val="20"/>
                  </w:pPr>
                  <w:r>
                    <w:t>符合</w:t>
                  </w:r>
                </w:p>
              </w:tc>
            </w:tr>
          </w:tbl>
          <w:p>
            <w:pPr>
              <w:ind w:firstLine="480"/>
            </w:pPr>
            <w:r>
              <w:t>综上，本项目建设符合“三线一单”要求。</w:t>
            </w:r>
          </w:p>
          <w:p>
            <w:pPr>
              <w:keepNext/>
              <w:keepLines/>
              <w:ind w:firstLine="0" w:firstLineChars="0"/>
              <w:jc w:val="left"/>
              <w:outlineLvl w:val="1"/>
              <w:rPr>
                <w:b/>
                <w:bCs/>
                <w:sz w:val="28"/>
                <w:szCs w:val="28"/>
              </w:rPr>
            </w:pPr>
            <w:r>
              <w:rPr>
                <w:rFonts w:hint="eastAsia"/>
                <w:b/>
                <w:bCs/>
                <w:sz w:val="28"/>
                <w:szCs w:val="28"/>
              </w:rPr>
              <w:t>3</w:t>
            </w:r>
            <w:r>
              <w:rPr>
                <w:b/>
                <w:bCs/>
                <w:sz w:val="28"/>
                <w:szCs w:val="28"/>
              </w:rPr>
              <w:t xml:space="preserve"> 与《新疆维吾尔自治区主体功能区规划》的相符性分析</w:t>
            </w:r>
          </w:p>
          <w:p>
            <w:pPr>
              <w:ind w:firstLine="480"/>
              <w:jc w:val="left"/>
            </w:pPr>
            <w:r>
              <w:t>根据《新疆维吾尔自治区主体功能区规划》，主体功能区按开发方式，分为优化开发区域、重点开发区域、限制开发区域和禁止开发区域四类；按开发内容，分为城市化地区、农产品主产区和重点生态功能区三类；按层级，分为国家和省级两个层面。</w:t>
            </w:r>
          </w:p>
          <w:p>
            <w:pPr>
              <w:ind w:firstLine="480"/>
            </w:pPr>
            <w:r>
              <w:t>本项目位于新疆维吾尔自治区和布克赛尔蒙古自治县，不属于主体功能区划中确定的国家和自治区层面的禁止开发区域。本项目位于自治区级重点生态功能区，本工程所在位置为准噶尔北部灌木半灌木荒漠生态功能区</w:t>
            </w:r>
            <w:r>
              <w:rPr>
                <w:rFonts w:hint="eastAsia"/>
              </w:rPr>
              <w:t>，</w:t>
            </w:r>
            <w:r>
              <w:t>本项目在新疆主体功能区划图中的位置详见图1-2。</w:t>
            </w:r>
          </w:p>
          <w:p>
            <w:pPr>
              <w:ind w:firstLine="480"/>
              <w:jc w:val="left"/>
            </w:pPr>
            <w:r>
              <w:t>相符性分析：</w:t>
            </w:r>
          </w:p>
          <w:p>
            <w:pPr>
              <w:ind w:firstLine="480"/>
              <w:jc w:val="left"/>
            </w:pPr>
            <w:r>
              <w:t>本项目为能源矿产地质勘查项目，项目所在区域不在生态红线区内，本环评要求建设单位对开发活动严格控制，尽可能减少对生态系统的干扰；在项目实施过程中需要积极采取生态补偿措施，加强对荒漠生态功能区保护和恢复，</w:t>
            </w:r>
          </w:p>
          <w:p>
            <w:pPr>
              <w:ind w:firstLine="0" w:firstLineChars="0"/>
              <w:jc w:val="left"/>
            </w:pPr>
            <w:r>
              <w:t>注意保护荒漠植被，保护野生动物，保护地貌，维护自然生态环境，积极落实本环评提出的各项生态环境保护措施，因此，本项目的建设符合《新疆维吾尔自治区主体功能区规划》对于项目区块的开发管制原则。</w:t>
            </w: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pStyle w:val="23"/>
              <w:rPr>
                <w:kern w:val="0"/>
              </w:rPr>
            </w:pPr>
          </w:p>
        </w:tc>
      </w:tr>
    </w:tbl>
    <w:p>
      <w:pPr>
        <w:ind w:firstLine="600"/>
        <w:rPr>
          <w:rFonts w:eastAsia="黑体"/>
          <w:sz w:val="30"/>
        </w:rPr>
        <w:sectPr>
          <w:footerReference r:id="rId11" w:type="default"/>
          <w:pgSz w:w="11906" w:h="16838"/>
          <w:pgMar w:top="1701" w:right="1531" w:bottom="1701" w:left="1531" w:header="851" w:footer="1077" w:gutter="0"/>
          <w:pgNumType w:start="1"/>
          <w:cols w:space="720" w:num="1"/>
          <w:docGrid w:linePitch="312" w:charSpace="0"/>
        </w:sectPr>
      </w:pPr>
    </w:p>
    <w:p>
      <w:pPr>
        <w:ind w:firstLine="0" w:firstLineChars="0"/>
        <w:jc w:val="center"/>
        <w:outlineLvl w:val="0"/>
        <w:rPr>
          <w:rFonts w:eastAsia="黑体"/>
          <w:snapToGrid w:val="0"/>
          <w:sz w:val="30"/>
          <w:szCs w:val="30"/>
        </w:rPr>
      </w:pPr>
      <w:bookmarkStart w:id="6" w:name="_Toc13450"/>
      <w:r>
        <w:rPr>
          <w:rFonts w:eastAsia="黑体"/>
          <w:snapToGrid w:val="0"/>
          <w:sz w:val="30"/>
          <w:szCs w:val="30"/>
        </w:rPr>
        <w:t>二、建设内容</w:t>
      </w:r>
      <w:bookmarkEnd w:id="6"/>
    </w:p>
    <w:tbl>
      <w:tblPr>
        <w:tblStyle w:val="14"/>
        <w:tblW w:w="90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6"/>
        <w:gridCol w:w="86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456" w:type="dxa"/>
            <w:vAlign w:val="center"/>
          </w:tcPr>
          <w:p>
            <w:pPr>
              <w:ind w:firstLine="0" w:firstLineChars="0"/>
              <w:rPr>
                <w:kern w:val="0"/>
              </w:rPr>
            </w:pPr>
            <w:r>
              <w:rPr>
                <w:kern w:val="0"/>
              </w:rPr>
              <w:t>地理位置</w:t>
            </w:r>
          </w:p>
        </w:tc>
        <w:tc>
          <w:tcPr>
            <w:tcW w:w="8604" w:type="dxa"/>
            <w:vAlign w:val="center"/>
          </w:tcPr>
          <w:p>
            <w:pPr>
              <w:ind w:firstLine="480"/>
            </w:pPr>
            <w:r>
              <w:rPr>
                <w:rFonts w:hint="eastAsia"/>
              </w:rPr>
              <w:t>拟部署评价井位于准噶尔盆地西北缘乌夏断裂带东部，行政隶属于</w:t>
            </w:r>
            <w:r>
              <w:t>新疆维吾尔自治区塔城地区和布克赛尔蒙古自治县，</w:t>
            </w:r>
            <w:r>
              <w:rPr>
                <w:rFonts w:hint="eastAsia"/>
              </w:rPr>
              <w:t>本项目西</w:t>
            </w:r>
            <w:r>
              <w:t>北距和布克赛尔蒙古自治县县城</w:t>
            </w:r>
            <w:r>
              <w:rPr>
                <w:rFonts w:hint="eastAsia"/>
              </w:rPr>
              <w:t>77</w:t>
            </w:r>
            <w:r>
              <w:t>km，西</w:t>
            </w:r>
            <w:r>
              <w:rPr>
                <w:rFonts w:hint="eastAsia"/>
              </w:rPr>
              <w:t>南</w:t>
            </w:r>
            <w:r>
              <w:t>距克拉玛依市乌尔禾区</w:t>
            </w:r>
            <w:r>
              <w:rPr>
                <w:rFonts w:hint="eastAsia"/>
              </w:rPr>
              <w:t>40</w:t>
            </w:r>
            <w:r>
              <w:t>km。项目地理位置见图2-1。</w:t>
            </w:r>
          </w:p>
          <w:p>
            <w:pPr>
              <w:ind w:firstLine="480"/>
            </w:pPr>
            <w:r>
              <w:t>本</w:t>
            </w:r>
            <w:r>
              <w:rPr>
                <w:rFonts w:hint="eastAsia"/>
              </w:rPr>
              <w:t>工程在夏37井区新建3口评价井，项目占地类型</w:t>
            </w:r>
            <w:r>
              <w:t>为</w:t>
            </w:r>
            <w:r>
              <w:rPr>
                <w:rFonts w:hint="eastAsia"/>
              </w:rPr>
              <w:t>其他草地</w:t>
            </w:r>
            <w:r>
              <w:t>。外环境关系见图2-2</w:t>
            </w:r>
            <w:r>
              <w:rPr>
                <w:rFonts w:hint="eastAsia"/>
              </w:rPr>
              <w:t>，现场踏勘照片见图2-3。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6" w:type="dxa"/>
            <w:vAlign w:val="center"/>
          </w:tcPr>
          <w:p>
            <w:pPr>
              <w:ind w:firstLine="0" w:firstLineChars="0"/>
              <w:jc w:val="center"/>
              <w:rPr>
                <w:kern w:val="0"/>
              </w:rPr>
            </w:pPr>
            <w:r>
              <w:rPr>
                <w:kern w:val="0"/>
              </w:rPr>
              <w:t>项目组成及规模</w:t>
            </w:r>
          </w:p>
        </w:tc>
        <w:tc>
          <w:tcPr>
            <w:tcW w:w="8604" w:type="dxa"/>
            <w:vAlign w:val="center"/>
          </w:tcPr>
          <w:p>
            <w:pPr>
              <w:pStyle w:val="18"/>
            </w:pPr>
            <w:r>
              <w:t>1 建设内容及规模</w:t>
            </w:r>
          </w:p>
          <w:p>
            <w:pPr>
              <w:ind w:firstLine="480"/>
            </w:pPr>
            <w:r>
              <w:t>本工程建设内容为新钻评价井</w:t>
            </w:r>
            <w:r>
              <w:rPr>
                <w:rFonts w:hint="eastAsia"/>
              </w:rPr>
              <w:t>3</w:t>
            </w:r>
            <w:r>
              <w:t>口（井号：</w:t>
            </w:r>
            <w:r>
              <w:rPr>
                <w:rFonts w:hint="eastAsia"/>
              </w:rPr>
              <w:t>夏065_H、夏072_H、夏073_H</w:t>
            </w:r>
            <w:r>
              <w:t>）</w:t>
            </w:r>
            <w:r>
              <w:rPr>
                <w:rFonts w:hint="eastAsia"/>
              </w:rPr>
              <w:t>，钻井总进尺5106m。</w:t>
            </w:r>
            <w:r>
              <w:t>完井后进行试油，获取有关技术参数。</w:t>
            </w:r>
            <w:r>
              <w:rPr>
                <w:color w:val="000000" w:themeColor="text1"/>
                <w14:textFill>
                  <w14:solidFill>
                    <w14:schemeClr w14:val="tx1"/>
                  </w14:solidFill>
                </w14:textFill>
              </w:rPr>
              <w:t>本项目临时占地</w:t>
            </w:r>
            <w:r>
              <w:rPr>
                <w:rFonts w:hint="eastAsia"/>
                <w:color w:val="000000" w:themeColor="text1"/>
                <w14:textFill>
                  <w14:solidFill>
                    <w14:schemeClr w14:val="tx1"/>
                  </w14:solidFill>
                </w14:textFill>
              </w:rPr>
              <w:t>25595</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，其中井场用地</w:t>
            </w:r>
            <w:r>
              <w:rPr>
                <w:rFonts w:hint="eastAsia"/>
                <w:color w:val="000000" w:themeColor="text1"/>
                <w14:textFill>
                  <w14:solidFill>
                    <w14:schemeClr w14:val="tx1"/>
                  </w14:solidFill>
                </w14:textFill>
              </w:rPr>
              <w:t>19125</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，井场道路用地</w:t>
            </w:r>
            <w:r>
              <w:rPr>
                <w:rFonts w:hint="eastAsia"/>
                <w:color w:val="000000" w:themeColor="text1"/>
                <w14:textFill>
                  <w14:solidFill>
                    <w14:schemeClr w14:val="tx1"/>
                  </w14:solidFill>
                </w14:textFill>
              </w:rPr>
              <w:t>4470</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，生活区用地</w:t>
            </w:r>
            <w:r>
              <w:rPr>
                <w:rFonts w:hint="eastAsia"/>
                <w:color w:val="000000" w:themeColor="text1"/>
                <w14:textFill>
                  <w14:solidFill>
                    <w14:schemeClr w14:val="tx1"/>
                  </w14:solidFill>
                </w14:textFill>
              </w:rPr>
              <w:t>2000</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w:t>
            </w:r>
            <w:r>
              <w:t>工程组成详见表2-</w:t>
            </w:r>
            <w:r>
              <w:rPr>
                <w:rFonts w:hint="eastAsia"/>
              </w:rPr>
              <w:t>1</w:t>
            </w:r>
            <w:r>
              <w:t>。</w:t>
            </w:r>
          </w:p>
          <w:p>
            <w:pPr>
              <w:pStyle w:val="2"/>
              <w:spacing w:line="360" w:lineRule="auto"/>
            </w:pPr>
            <w:r>
              <w:t>表2-</w:t>
            </w:r>
            <w:r>
              <w:rPr>
                <w:rFonts w:hint="eastAsia"/>
              </w:rPr>
              <w:t>1</w:t>
            </w:r>
            <w:r>
              <w:t xml:space="preserve">  项目建设内容一览表</w:t>
            </w:r>
          </w:p>
          <w:tbl>
            <w:tblPr>
              <w:tblStyle w:val="14"/>
              <w:tblW w:w="496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30"/>
              <w:gridCol w:w="496"/>
              <w:gridCol w:w="1200"/>
              <w:gridCol w:w="1162"/>
              <w:gridCol w:w="483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5" w:hRule="atLeast"/>
                <w:jc w:val="center"/>
              </w:trPr>
              <w:tc>
                <w:tcPr>
                  <w:tcW w:w="378" w:type="pct"/>
                  <w:vAlign w:val="center"/>
                </w:tcPr>
                <w:p>
                  <w:pPr>
                    <w:pStyle w:val="20"/>
                    <w:rPr>
                      <w:b/>
                      <w:bCs/>
                    </w:rPr>
                  </w:pPr>
                  <w:r>
                    <w:rPr>
                      <w:b/>
                      <w:bCs/>
                    </w:rPr>
                    <w:t>名称</w:t>
                  </w:r>
                </w:p>
              </w:tc>
              <w:tc>
                <w:tcPr>
                  <w:tcW w:w="1018" w:type="pct"/>
                  <w:gridSpan w:val="2"/>
                  <w:vAlign w:val="center"/>
                </w:tcPr>
                <w:p>
                  <w:pPr>
                    <w:pStyle w:val="20"/>
                    <w:rPr>
                      <w:b/>
                      <w:bCs/>
                    </w:rPr>
                  </w:pPr>
                  <w:r>
                    <w:rPr>
                      <w:b/>
                      <w:bCs/>
                    </w:rPr>
                    <w:t>建设内容</w:t>
                  </w:r>
                </w:p>
              </w:tc>
              <w:tc>
                <w:tcPr>
                  <w:tcW w:w="3602" w:type="pct"/>
                  <w:gridSpan w:val="2"/>
                  <w:vAlign w:val="center"/>
                </w:tcPr>
                <w:p>
                  <w:pPr>
                    <w:pStyle w:val="20"/>
                    <w:rPr>
                      <w:b/>
                      <w:bCs/>
                    </w:rPr>
                  </w:pPr>
                  <w:r>
                    <w:rPr>
                      <w:b/>
                      <w:bCs/>
                    </w:rPr>
                    <w:t>建设规模及建设内容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78" w:type="pct"/>
                  <w:vMerge w:val="restart"/>
                  <w:vAlign w:val="center"/>
                </w:tcPr>
                <w:p>
                  <w:pPr>
                    <w:pStyle w:val="20"/>
                  </w:pPr>
                  <w:r>
                    <w:t>主体工程</w:t>
                  </w:r>
                </w:p>
              </w:tc>
              <w:tc>
                <w:tcPr>
                  <w:tcW w:w="1018" w:type="pct"/>
                  <w:gridSpan w:val="2"/>
                  <w:vAlign w:val="center"/>
                </w:tcPr>
                <w:p>
                  <w:pPr>
                    <w:pStyle w:val="20"/>
                  </w:pPr>
                  <w:r>
                    <w:t>钻前工程</w:t>
                  </w:r>
                </w:p>
              </w:tc>
              <w:tc>
                <w:tcPr>
                  <w:tcW w:w="3602" w:type="pct"/>
                  <w:gridSpan w:val="2"/>
                  <w:vAlign w:val="center"/>
                </w:tcPr>
                <w:p>
                  <w:pPr>
                    <w:pStyle w:val="20"/>
                  </w:pPr>
                  <w:r>
                    <w:t>钻井前准备工作，包括进场道路建设、井场平整、设备基础修建等，均在井场临时占地范围内实施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78" w:type="pct"/>
                  <w:vMerge w:val="continue"/>
                  <w:vAlign w:val="center"/>
                </w:tcPr>
                <w:p>
                  <w:pPr>
                    <w:pStyle w:val="20"/>
                  </w:pPr>
                </w:p>
              </w:tc>
              <w:tc>
                <w:tcPr>
                  <w:tcW w:w="1018" w:type="pct"/>
                  <w:gridSpan w:val="2"/>
                  <w:vAlign w:val="center"/>
                </w:tcPr>
                <w:p>
                  <w:pPr>
                    <w:pStyle w:val="20"/>
                  </w:pPr>
                  <w:r>
                    <w:t>钻井工程</w:t>
                  </w:r>
                </w:p>
              </w:tc>
              <w:tc>
                <w:tcPr>
                  <w:tcW w:w="3602" w:type="pct"/>
                  <w:gridSpan w:val="2"/>
                  <w:vAlign w:val="center"/>
                </w:tcPr>
                <w:p>
                  <w:pPr>
                    <w:pStyle w:val="20"/>
                  </w:pPr>
                  <w:r>
                    <w:t>新钻评价井</w:t>
                  </w:r>
                  <w:r>
                    <w:rPr>
                      <w:rFonts w:hint="eastAsia"/>
                    </w:rPr>
                    <w:t>3</w:t>
                  </w:r>
                  <w:r>
                    <w:t>口</w:t>
                  </w:r>
                  <w:r>
                    <w:rPr>
                      <w:rFonts w:hint="eastAsia"/>
                    </w:rPr>
                    <w:t>，均为三开井身结构</w:t>
                  </w:r>
                  <w:r>
                    <w:t>。钻井总进尺</w:t>
                  </w:r>
                  <w:r>
                    <w:rPr>
                      <w:rFonts w:hint="eastAsia"/>
                    </w:rPr>
                    <w:t>5106</w:t>
                  </w:r>
                  <w:r>
                    <w:t>m，</w:t>
                  </w:r>
                  <w:r>
                    <w:rPr>
                      <w:rFonts w:hint="eastAsia"/>
                    </w:rPr>
                    <w:t>单井钻井周期约30</w:t>
                  </w:r>
                  <w:r>
                    <w:t>天</w:t>
                  </w:r>
                  <w:r>
                    <w:rPr>
                      <w:rFonts w:hint="eastAsia"/>
                    </w:rPr>
                    <w:t>。</w:t>
                  </w:r>
                  <w:r>
                    <w:rPr>
                      <w:rStyle w:val="17"/>
                      <w:rFonts w:hint="eastAsia"/>
                      <w:szCs w:val="24"/>
                    </w:rPr>
                    <w:t>井场</w:t>
                  </w:r>
                  <w:r>
                    <w:rPr>
                      <w:rFonts w:hint="eastAsia"/>
                    </w:rPr>
                    <w:t>施工人数35人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1018" w:type="pct"/>
                  <w:gridSpan w:val="2"/>
                  <w:vAlign w:val="center"/>
                </w:tcPr>
                <w:p>
                  <w:pPr>
                    <w:pStyle w:val="20"/>
                  </w:pPr>
                  <w:r>
                    <w:t>试油工程</w:t>
                  </w:r>
                </w:p>
              </w:tc>
              <w:tc>
                <w:tcPr>
                  <w:tcW w:w="3602" w:type="pct"/>
                  <w:gridSpan w:val="2"/>
                  <w:vAlign w:val="center"/>
                </w:tcPr>
                <w:p>
                  <w:pPr>
                    <w:pStyle w:val="20"/>
                  </w:pPr>
                  <w:r>
                    <w:rPr>
                      <w:kern w:val="0"/>
                      <w:szCs w:val="21"/>
                    </w:rPr>
                    <w:t>单井试油期180d，</w:t>
                  </w:r>
                  <w:r>
                    <w:t>对完钻井进行通井、洗井、射孔、</w:t>
                  </w:r>
                  <w:r>
                    <w:rPr>
                      <w:rFonts w:hint="eastAsia"/>
                    </w:rPr>
                    <w:t>压裂、</w:t>
                  </w:r>
                  <w:r>
                    <w:t>求产等工序，并配套试油设备，记录油气产量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restart"/>
                  <w:vAlign w:val="center"/>
                </w:tcPr>
                <w:p>
                  <w:pPr>
                    <w:pStyle w:val="20"/>
                  </w:pPr>
                  <w:r>
                    <w:t>辅助</w:t>
                  </w:r>
                </w:p>
                <w:p>
                  <w:pPr>
                    <w:pStyle w:val="20"/>
                  </w:pPr>
                  <w:r>
                    <w:t>工程</w:t>
                  </w:r>
                </w:p>
              </w:tc>
              <w:tc>
                <w:tcPr>
                  <w:tcW w:w="1018" w:type="pct"/>
                  <w:gridSpan w:val="2"/>
                  <w:vAlign w:val="center"/>
                </w:tcPr>
                <w:p>
                  <w:pPr>
                    <w:pStyle w:val="20"/>
                  </w:pPr>
                  <w:r>
                    <w:t>井口基础</w:t>
                  </w:r>
                </w:p>
              </w:tc>
              <w:tc>
                <w:tcPr>
                  <w:tcW w:w="3602" w:type="pct"/>
                  <w:gridSpan w:val="2"/>
                  <w:vAlign w:val="center"/>
                </w:tcPr>
                <w:p>
                  <w:pPr>
                    <w:pStyle w:val="20"/>
                  </w:pPr>
                  <w:r>
                    <w:t>加固井口，方便其他配套设施安装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6" w:hRule="atLeast"/>
                <w:jc w:val="center"/>
              </w:trPr>
              <w:tc>
                <w:tcPr>
                  <w:tcW w:w="378" w:type="pct"/>
                  <w:vMerge w:val="continue"/>
                  <w:vAlign w:val="center"/>
                </w:tcPr>
                <w:p>
                  <w:pPr>
                    <w:pStyle w:val="20"/>
                  </w:pPr>
                </w:p>
              </w:tc>
              <w:tc>
                <w:tcPr>
                  <w:tcW w:w="1018" w:type="pct"/>
                  <w:gridSpan w:val="2"/>
                  <w:vAlign w:val="center"/>
                </w:tcPr>
                <w:p>
                  <w:pPr>
                    <w:pStyle w:val="20"/>
                  </w:pPr>
                  <w:r>
                    <w:t>生活营地</w:t>
                  </w:r>
                </w:p>
              </w:tc>
              <w:tc>
                <w:tcPr>
                  <w:tcW w:w="3602" w:type="pct"/>
                  <w:gridSpan w:val="2"/>
                  <w:vAlign w:val="center"/>
                </w:tcPr>
                <w:p>
                  <w:pPr>
                    <w:pStyle w:val="20"/>
                  </w:pPr>
                  <w:r>
                    <w:t>设置临时生活营地1处，占地面积</w:t>
                  </w:r>
                  <w:r>
                    <w:rPr>
                      <w:rFonts w:hint="eastAsia"/>
                    </w:rPr>
                    <w:t>2000</w:t>
                  </w:r>
                  <w:r>
                    <w:t>m</w:t>
                  </w:r>
                  <w:r>
                    <w:rPr>
                      <w:vertAlign w:val="superscript"/>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78" w:type="pct"/>
                  <w:vMerge w:val="continue"/>
                  <w:vAlign w:val="center"/>
                </w:tcPr>
                <w:p>
                  <w:pPr>
                    <w:pStyle w:val="20"/>
                  </w:pPr>
                </w:p>
              </w:tc>
              <w:tc>
                <w:tcPr>
                  <w:tcW w:w="1018" w:type="pct"/>
                  <w:gridSpan w:val="2"/>
                  <w:vAlign w:val="center"/>
                </w:tcPr>
                <w:p>
                  <w:pPr>
                    <w:pStyle w:val="20"/>
                  </w:pPr>
                  <w:r>
                    <w:t>道路</w:t>
                  </w:r>
                </w:p>
              </w:tc>
              <w:tc>
                <w:tcPr>
                  <w:tcW w:w="3602" w:type="pct"/>
                  <w:gridSpan w:val="2"/>
                  <w:vAlign w:val="center"/>
                </w:tcPr>
                <w:p>
                  <w:pPr>
                    <w:pStyle w:val="20"/>
                  </w:pPr>
                  <w:r>
                    <w:rPr>
                      <w:rFonts w:hint="eastAsia"/>
                    </w:rPr>
                    <w:t>修建临时</w:t>
                  </w:r>
                  <w:r>
                    <w:t>道路长度总计</w:t>
                  </w:r>
                  <w:r>
                    <w:rPr>
                      <w:rFonts w:hint="eastAsia"/>
                    </w:rPr>
                    <w:t>745</w:t>
                  </w:r>
                  <w:r>
                    <w:t>m，宽度</w:t>
                  </w:r>
                  <w:r>
                    <w:rPr>
                      <w:rFonts w:hint="eastAsia"/>
                    </w:rPr>
                    <w:t>6</w:t>
                  </w:r>
                  <w:r>
                    <w:t>m</w:t>
                  </w:r>
                  <w:r>
                    <w:rPr>
                      <w:rFonts w:hint="eastAsia"/>
                    </w:rPr>
                    <w:t>，</w:t>
                  </w:r>
                  <w:r>
                    <w:t>占地面积</w:t>
                  </w:r>
                  <w:r>
                    <w:rPr>
                      <w:rFonts w:hint="eastAsia"/>
                    </w:rPr>
                    <w:t>4470</w:t>
                  </w:r>
                  <w:r>
                    <w:t>m</w:t>
                  </w:r>
                  <w:r>
                    <w:rPr>
                      <w:vertAlign w:val="superscript"/>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1" w:hRule="atLeast"/>
                <w:jc w:val="center"/>
              </w:trPr>
              <w:tc>
                <w:tcPr>
                  <w:tcW w:w="378" w:type="pct"/>
                  <w:vMerge w:val="restart"/>
                  <w:vAlign w:val="center"/>
                </w:tcPr>
                <w:p>
                  <w:pPr>
                    <w:pStyle w:val="20"/>
                  </w:pPr>
                  <w:r>
                    <w:rPr>
                      <w:rFonts w:hint="eastAsia"/>
                    </w:rPr>
                    <w:t>储运工程</w:t>
                  </w:r>
                </w:p>
              </w:tc>
              <w:tc>
                <w:tcPr>
                  <w:tcW w:w="1018" w:type="pct"/>
                  <w:gridSpan w:val="2"/>
                  <w:vAlign w:val="center"/>
                </w:tcPr>
                <w:p>
                  <w:pPr>
                    <w:pStyle w:val="20"/>
                  </w:pPr>
                  <w:r>
                    <w:rPr>
                      <w:rFonts w:hint="eastAsia"/>
                    </w:rPr>
                    <w:t>油罐区</w:t>
                  </w:r>
                </w:p>
              </w:tc>
              <w:tc>
                <w:tcPr>
                  <w:tcW w:w="3602" w:type="pct"/>
                  <w:gridSpan w:val="2"/>
                  <w:vAlign w:val="center"/>
                </w:tcPr>
                <w:p>
                  <w:pPr>
                    <w:pStyle w:val="20"/>
                  </w:pPr>
                  <w:r>
                    <w:t>井场内设1个柴油罐，存储钻井用柴油，20m</w:t>
                  </w:r>
                  <w:r>
                    <w:rPr>
                      <w:vertAlign w:val="superscript"/>
                    </w:rPr>
                    <w:t>3</w:t>
                  </w:r>
                  <w:r>
                    <w:t>/个，最大储存量约16.7t，地坪基础防渗，设30cm高围堰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1" w:hRule="atLeast"/>
                <w:jc w:val="center"/>
              </w:trPr>
              <w:tc>
                <w:tcPr>
                  <w:tcW w:w="378" w:type="pct"/>
                  <w:vMerge w:val="continue"/>
                  <w:vAlign w:val="center"/>
                </w:tcPr>
                <w:p>
                  <w:pPr>
                    <w:pStyle w:val="20"/>
                  </w:pPr>
                </w:p>
              </w:tc>
              <w:tc>
                <w:tcPr>
                  <w:tcW w:w="1018" w:type="pct"/>
                  <w:gridSpan w:val="2"/>
                  <w:vAlign w:val="center"/>
                </w:tcPr>
                <w:p>
                  <w:pPr>
                    <w:pStyle w:val="20"/>
                  </w:pPr>
                  <w:r>
                    <w:t>泥浆储备罐区</w:t>
                  </w:r>
                </w:p>
              </w:tc>
              <w:tc>
                <w:tcPr>
                  <w:tcW w:w="3602" w:type="pct"/>
                  <w:gridSpan w:val="2"/>
                  <w:vAlign w:val="center"/>
                </w:tcPr>
                <w:p>
                  <w:pPr>
                    <w:pStyle w:val="20"/>
                  </w:pPr>
                  <w:r>
                    <w:t>位于泥浆循环系统区域，用于储备压井泥浆。罐区周边设置围堰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1" w:hRule="atLeast"/>
                <w:jc w:val="center"/>
              </w:trPr>
              <w:tc>
                <w:tcPr>
                  <w:tcW w:w="378" w:type="pct"/>
                  <w:vMerge w:val="continue"/>
                  <w:vAlign w:val="center"/>
                </w:tcPr>
                <w:p>
                  <w:pPr>
                    <w:pStyle w:val="20"/>
                  </w:pPr>
                </w:p>
              </w:tc>
              <w:tc>
                <w:tcPr>
                  <w:tcW w:w="1018" w:type="pct"/>
                  <w:gridSpan w:val="2"/>
                  <w:vAlign w:val="center"/>
                </w:tcPr>
                <w:p>
                  <w:pPr>
                    <w:pStyle w:val="20"/>
                  </w:pPr>
                  <w:r>
                    <w:t>钻井、固井材料储存区</w:t>
                  </w:r>
                </w:p>
              </w:tc>
              <w:tc>
                <w:tcPr>
                  <w:tcW w:w="3602" w:type="pct"/>
                  <w:gridSpan w:val="2"/>
                  <w:vAlign w:val="center"/>
                </w:tcPr>
                <w:p>
                  <w:pPr>
                    <w:pStyle w:val="20"/>
                  </w:pPr>
                  <w:r>
                    <w:t>井场内设置1处材料堆存区，堆场采用彩钢板顶棚防雨防风，地面防渗处理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1" w:hRule="atLeast"/>
                <w:jc w:val="center"/>
              </w:trPr>
              <w:tc>
                <w:tcPr>
                  <w:tcW w:w="378" w:type="pct"/>
                  <w:vMerge w:val="continue"/>
                  <w:vAlign w:val="center"/>
                </w:tcPr>
                <w:p>
                  <w:pPr>
                    <w:pStyle w:val="20"/>
                  </w:pPr>
                </w:p>
              </w:tc>
              <w:tc>
                <w:tcPr>
                  <w:tcW w:w="1018" w:type="pct"/>
                  <w:gridSpan w:val="2"/>
                  <w:vAlign w:val="center"/>
                </w:tcPr>
                <w:p>
                  <w:pPr>
                    <w:pStyle w:val="20"/>
                  </w:pPr>
                  <w:r>
                    <w:rPr>
                      <w:rFonts w:hint="eastAsia"/>
                    </w:rPr>
                    <w:t>采出液</w:t>
                  </w:r>
                  <w:r>
                    <w:t>临时储罐</w:t>
                  </w:r>
                </w:p>
              </w:tc>
              <w:tc>
                <w:tcPr>
                  <w:tcW w:w="3602" w:type="pct"/>
                  <w:gridSpan w:val="2"/>
                  <w:vAlign w:val="center"/>
                </w:tcPr>
                <w:p>
                  <w:pPr>
                    <w:pStyle w:val="20"/>
                  </w:pPr>
                  <w:r>
                    <w:rPr>
                      <w:rFonts w:hint="eastAsia"/>
                    </w:rPr>
                    <w:t>每个井场</w:t>
                  </w:r>
                  <w:r>
                    <w:t>内设置1个60m</w:t>
                  </w:r>
                  <w:r>
                    <w:rPr>
                      <w:vertAlign w:val="superscript"/>
                    </w:rPr>
                    <w:t>3</w:t>
                  </w:r>
                  <w:r>
                    <w:rPr>
                      <w:rFonts w:hint="eastAsia"/>
                    </w:rPr>
                    <w:t>采出液</w:t>
                  </w:r>
                  <w:r>
                    <w:t>临时储罐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restart"/>
                  <w:vAlign w:val="center"/>
                </w:tcPr>
                <w:p>
                  <w:pPr>
                    <w:pStyle w:val="20"/>
                  </w:pPr>
                  <w:r>
                    <w:t>公用工程</w:t>
                  </w:r>
                </w:p>
              </w:tc>
              <w:tc>
                <w:tcPr>
                  <w:tcW w:w="1018" w:type="pct"/>
                  <w:gridSpan w:val="2"/>
                  <w:vAlign w:val="center"/>
                </w:tcPr>
                <w:p>
                  <w:pPr>
                    <w:pStyle w:val="20"/>
                  </w:pPr>
                  <w:r>
                    <w:t>供配电</w:t>
                  </w:r>
                </w:p>
              </w:tc>
              <w:tc>
                <w:tcPr>
                  <w:tcW w:w="3602" w:type="pct"/>
                  <w:gridSpan w:val="2"/>
                  <w:vAlign w:val="center"/>
                </w:tcPr>
                <w:p>
                  <w:pPr>
                    <w:pStyle w:val="20"/>
                  </w:pPr>
                  <w:r>
                    <w:t>钻机、生活、办公等通过柴油机、发电机供电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1018" w:type="pct"/>
                  <w:gridSpan w:val="2"/>
                  <w:vAlign w:val="center"/>
                </w:tcPr>
                <w:p>
                  <w:pPr>
                    <w:pStyle w:val="20"/>
                  </w:pPr>
                  <w:r>
                    <w:t>供水</w:t>
                  </w:r>
                </w:p>
              </w:tc>
              <w:tc>
                <w:tcPr>
                  <w:tcW w:w="3602" w:type="pct"/>
                  <w:gridSpan w:val="2"/>
                  <w:vAlign w:val="center"/>
                </w:tcPr>
                <w:p>
                  <w:pPr>
                    <w:pStyle w:val="20"/>
                  </w:pPr>
                  <w:r>
                    <w:rPr>
                      <w:rFonts w:hint="eastAsia"/>
                    </w:rPr>
                    <w:t>用水水源就近从乌尔禾城区由罐车拉运至井场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1018" w:type="pct"/>
                  <w:gridSpan w:val="2"/>
                  <w:vAlign w:val="center"/>
                </w:tcPr>
                <w:p>
                  <w:pPr>
                    <w:pStyle w:val="20"/>
                  </w:pPr>
                  <w:r>
                    <w:t>供热</w:t>
                  </w:r>
                </w:p>
              </w:tc>
              <w:tc>
                <w:tcPr>
                  <w:tcW w:w="3602" w:type="pct"/>
                  <w:gridSpan w:val="2"/>
                  <w:vAlign w:val="center"/>
                </w:tcPr>
                <w:p>
                  <w:pPr>
                    <w:pStyle w:val="20"/>
                  </w:pPr>
                  <w:r>
                    <w:t>项目冬季不施工，无供暖设施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restart"/>
                  <w:vAlign w:val="center"/>
                </w:tcPr>
                <w:p>
                  <w:pPr>
                    <w:pStyle w:val="20"/>
                  </w:pPr>
                  <w:r>
                    <w:t>环保工程</w:t>
                  </w:r>
                </w:p>
              </w:tc>
              <w:tc>
                <w:tcPr>
                  <w:tcW w:w="297" w:type="pct"/>
                  <w:vMerge w:val="restart"/>
                  <w:vAlign w:val="center"/>
                </w:tcPr>
                <w:p>
                  <w:pPr>
                    <w:pStyle w:val="20"/>
                  </w:pPr>
                  <w:r>
                    <w:t>废气</w:t>
                  </w:r>
                </w:p>
              </w:tc>
              <w:tc>
                <w:tcPr>
                  <w:tcW w:w="721" w:type="pct"/>
                  <w:vAlign w:val="center"/>
                </w:tcPr>
                <w:p>
                  <w:pPr>
                    <w:pStyle w:val="20"/>
                  </w:pPr>
                  <w:r>
                    <w:t>柴油发电机废气</w:t>
                  </w:r>
                </w:p>
              </w:tc>
              <w:tc>
                <w:tcPr>
                  <w:tcW w:w="3602" w:type="pct"/>
                  <w:gridSpan w:val="2"/>
                  <w:vAlign w:val="center"/>
                </w:tcPr>
                <w:p>
                  <w:pPr>
                    <w:pStyle w:val="20"/>
                  </w:pPr>
                  <w:r>
                    <w:t>废气产生量较少，属无组织排放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施工扬尘</w:t>
                  </w:r>
                </w:p>
              </w:tc>
              <w:tc>
                <w:tcPr>
                  <w:tcW w:w="3602" w:type="pct"/>
                  <w:gridSpan w:val="2"/>
                  <w:vAlign w:val="center"/>
                </w:tcPr>
                <w:p>
                  <w:pPr>
                    <w:pStyle w:val="20"/>
                  </w:pPr>
                  <w:r>
                    <w:t>产生量较少，属无组织排放，采取场区洒水抑尘措施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rPr>
                      <w:rFonts w:hint="eastAsia"/>
                    </w:rPr>
                    <w:t>车辆运输尾气</w:t>
                  </w:r>
                </w:p>
              </w:tc>
              <w:tc>
                <w:tcPr>
                  <w:tcW w:w="3602" w:type="pct"/>
                  <w:gridSpan w:val="2"/>
                  <w:vAlign w:val="center"/>
                </w:tcPr>
                <w:p>
                  <w:pPr>
                    <w:pStyle w:val="20"/>
                  </w:pPr>
                  <w:r>
                    <w:t>产生量较少，属无组织排放，车辆采用合格油品并加强管理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伴生气燃烧</w:t>
                  </w:r>
                </w:p>
              </w:tc>
              <w:tc>
                <w:tcPr>
                  <w:tcW w:w="3602" w:type="pct"/>
                  <w:gridSpan w:val="2"/>
                  <w:vAlign w:val="center"/>
                </w:tcPr>
                <w:p>
                  <w:pPr>
                    <w:pStyle w:val="20"/>
                  </w:pPr>
                  <w:r>
                    <w:t>伴生气经过气液分离后通过放散管点火排放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临时储罐废气和采出液装卸废气</w:t>
                  </w:r>
                </w:p>
              </w:tc>
              <w:tc>
                <w:tcPr>
                  <w:tcW w:w="3602" w:type="pct"/>
                  <w:gridSpan w:val="2"/>
                  <w:vAlign w:val="center"/>
                </w:tcPr>
                <w:p>
                  <w:pPr>
                    <w:pStyle w:val="20"/>
                  </w:pPr>
                  <w:r>
                    <w:t>临时储罐废气产生量较少，通过密闭底部装载方式减少废气的排放，排放方式均为无组织排放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7" w:hRule="atLeast"/>
                <w:jc w:val="center"/>
              </w:trPr>
              <w:tc>
                <w:tcPr>
                  <w:tcW w:w="378" w:type="pct"/>
                  <w:vMerge w:val="continue"/>
                  <w:vAlign w:val="center"/>
                </w:tcPr>
                <w:p>
                  <w:pPr>
                    <w:pStyle w:val="20"/>
                  </w:pPr>
                </w:p>
              </w:tc>
              <w:tc>
                <w:tcPr>
                  <w:tcW w:w="297" w:type="pct"/>
                  <w:vMerge w:val="restart"/>
                  <w:vAlign w:val="center"/>
                </w:tcPr>
                <w:p>
                  <w:pPr>
                    <w:pStyle w:val="20"/>
                  </w:pPr>
                  <w:r>
                    <w:t>废水</w:t>
                  </w:r>
                </w:p>
              </w:tc>
              <w:tc>
                <w:tcPr>
                  <w:tcW w:w="721" w:type="pct"/>
                  <w:vAlign w:val="center"/>
                </w:tcPr>
                <w:p>
                  <w:pPr>
                    <w:pStyle w:val="20"/>
                  </w:pPr>
                  <w:r>
                    <w:rPr>
                      <w:rFonts w:hint="eastAsia"/>
                    </w:rPr>
                    <w:t>洗井废水</w:t>
                  </w:r>
                </w:p>
              </w:tc>
              <w:tc>
                <w:tcPr>
                  <w:tcW w:w="3602" w:type="pct"/>
                  <w:gridSpan w:val="2"/>
                  <w:vAlign w:val="center"/>
                </w:tcPr>
                <w:p>
                  <w:pPr>
                    <w:pStyle w:val="20"/>
                  </w:pPr>
                  <w:r>
                    <w:t>试油期</w:t>
                  </w:r>
                  <w:r>
                    <w:rPr>
                      <w:rFonts w:hint="eastAsia"/>
                    </w:rPr>
                    <w:t>洗井</w:t>
                  </w:r>
                  <w:r>
                    <w:t>废水</w:t>
                  </w:r>
                  <w:r>
                    <w:rPr>
                      <w:rFonts w:hint="eastAsia"/>
                    </w:rPr>
                    <w:t>采用</w:t>
                  </w:r>
                  <w:r>
                    <w:t>专用废液收集罐</w:t>
                  </w:r>
                  <w:r>
                    <w:rPr>
                      <w:rFonts w:hint="eastAsia"/>
                    </w:rPr>
                    <w:t>收集后</w:t>
                  </w:r>
                  <w:r>
                    <w:t>拉运至</w:t>
                  </w:r>
                  <w:r>
                    <w:rPr>
                      <w:rFonts w:hint="eastAsia"/>
                    </w:rPr>
                    <w:t>乌尔禾稀油处理站</w:t>
                  </w:r>
                  <w:r>
                    <w:t>污水处理系统处置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生活污水</w:t>
                  </w:r>
                </w:p>
              </w:tc>
              <w:tc>
                <w:tcPr>
                  <w:tcW w:w="3602" w:type="pct"/>
                  <w:gridSpan w:val="2"/>
                  <w:vAlign w:val="center"/>
                </w:tcPr>
                <w:p>
                  <w:pPr>
                    <w:pStyle w:val="20"/>
                  </w:pPr>
                  <w:r>
                    <w:rPr>
                      <w:rFonts w:hint="eastAsia"/>
                    </w:rPr>
                    <w:t>生活营地设</w:t>
                  </w:r>
                  <w:r>
                    <w:t>防渗</w:t>
                  </w:r>
                  <w:r>
                    <w:rPr>
                      <w:rFonts w:hint="eastAsia"/>
                    </w:rPr>
                    <w:t>污水</w:t>
                  </w:r>
                  <w:r>
                    <w:t>收集池（30m</w:t>
                  </w:r>
                  <w:r>
                    <w:rPr>
                      <w:vertAlign w:val="superscript"/>
                    </w:rPr>
                    <w:t>3</w:t>
                  </w:r>
                  <w:r>
                    <w:t>），钻井结束后生活污水清运至</w:t>
                  </w:r>
                  <w:r>
                    <w:rPr>
                      <w:rFonts w:hint="eastAsia"/>
                    </w:rPr>
                    <w:t>乌尔禾区</w:t>
                  </w:r>
                  <w:r>
                    <w:t>污水处理厂处理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restart"/>
                  <w:vAlign w:val="center"/>
                </w:tcPr>
                <w:p>
                  <w:pPr>
                    <w:pStyle w:val="20"/>
                  </w:pPr>
                  <w:r>
                    <w:t>噪声</w:t>
                  </w:r>
                </w:p>
              </w:tc>
              <w:tc>
                <w:tcPr>
                  <w:tcW w:w="721" w:type="pct"/>
                  <w:vAlign w:val="center"/>
                </w:tcPr>
                <w:p>
                  <w:pPr>
                    <w:pStyle w:val="20"/>
                  </w:pPr>
                  <w:r>
                    <w:t>施工设备、钻井机械噪声</w:t>
                  </w:r>
                </w:p>
              </w:tc>
              <w:tc>
                <w:tcPr>
                  <w:tcW w:w="3602" w:type="pct"/>
                  <w:gridSpan w:val="2"/>
                  <w:vAlign w:val="center"/>
                </w:tcPr>
                <w:p>
                  <w:pPr>
                    <w:pStyle w:val="20"/>
                  </w:pPr>
                  <w:r>
                    <w:t>减振、隔声降噪措施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试油期机械</w:t>
                  </w:r>
                  <w:r>
                    <w:rPr>
                      <w:rFonts w:hint="eastAsia"/>
                    </w:rPr>
                    <w:t>和运输</w:t>
                  </w:r>
                  <w:r>
                    <w:t>噪声</w:t>
                  </w:r>
                </w:p>
              </w:tc>
              <w:tc>
                <w:tcPr>
                  <w:tcW w:w="3602" w:type="pct"/>
                  <w:gridSpan w:val="2"/>
                  <w:vAlign w:val="center"/>
                </w:tcPr>
                <w:p>
                  <w:pPr>
                    <w:pStyle w:val="20"/>
                  </w:pPr>
                  <w:r>
                    <w:t>选用低噪声设备，安装基础减振垫</w:t>
                  </w:r>
                  <w:r>
                    <w:rPr>
                      <w:rFonts w:hint="eastAsia"/>
                    </w:rPr>
                    <w:t>，运输车辆减速慢行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restart"/>
                  <w:vAlign w:val="center"/>
                </w:tcPr>
                <w:p>
                  <w:pPr>
                    <w:pStyle w:val="20"/>
                  </w:pPr>
                  <w:r>
                    <w:t>固废</w:t>
                  </w:r>
                </w:p>
              </w:tc>
              <w:tc>
                <w:tcPr>
                  <w:tcW w:w="721" w:type="pct"/>
                  <w:vAlign w:val="center"/>
                </w:tcPr>
                <w:p>
                  <w:pPr>
                    <w:pStyle w:val="20"/>
                  </w:pPr>
                  <w:r>
                    <w:rPr>
                      <w:rFonts w:hint="eastAsia"/>
                    </w:rPr>
                    <w:t>钻井泥浆、</w:t>
                  </w:r>
                  <w:r>
                    <w:t>钻井岩屑</w:t>
                  </w:r>
                </w:p>
              </w:tc>
              <w:tc>
                <w:tcPr>
                  <w:tcW w:w="3602" w:type="pct"/>
                  <w:gridSpan w:val="2"/>
                  <w:vAlign w:val="center"/>
                </w:tcPr>
                <w:p>
                  <w:pPr>
                    <w:pStyle w:val="20"/>
                  </w:pPr>
                  <w:r>
                    <w:t>钻井液经“钻井泥浆不落地技术”处理后循环使用，剩余钻井液回收后用于后续钻井液配置；岩屑</w:t>
                  </w:r>
                  <w:r>
                    <w:rPr>
                      <w:rFonts w:hint="eastAsia"/>
                    </w:rPr>
                    <w:t>收集于</w:t>
                  </w:r>
                  <w:r>
                    <w:t>岩屑储罐，委托</w:t>
                  </w:r>
                  <w:r>
                    <w:rPr>
                      <w:rFonts w:hint="eastAsia"/>
                    </w:rPr>
                    <w:t>有资质的单位</w:t>
                  </w:r>
                  <w:r>
                    <w:t>处置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rPr>
                      <w:rFonts w:hint="eastAsia"/>
                    </w:rPr>
                    <w:t>压裂返排液</w:t>
                  </w:r>
                </w:p>
              </w:tc>
              <w:tc>
                <w:tcPr>
                  <w:tcW w:w="3602" w:type="pct"/>
                  <w:gridSpan w:val="2"/>
                  <w:vAlign w:val="center"/>
                </w:tcPr>
                <w:p>
                  <w:pPr>
                    <w:pStyle w:val="20"/>
                  </w:pPr>
                  <w:r>
                    <w:rPr>
                      <w:rFonts w:hint="eastAsia"/>
                    </w:rPr>
                    <w:t>压裂返排液</w:t>
                  </w:r>
                  <w:r>
                    <w:t>进入罐车拉运至</w:t>
                  </w:r>
                  <w:r>
                    <w:rPr>
                      <w:rFonts w:hint="eastAsia"/>
                    </w:rPr>
                    <w:t>乌尔禾稀油处理站污水处理系统处理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生活垃圾</w:t>
                  </w:r>
                </w:p>
              </w:tc>
              <w:tc>
                <w:tcPr>
                  <w:tcW w:w="3602" w:type="pct"/>
                  <w:gridSpan w:val="2"/>
                  <w:vAlign w:val="center"/>
                </w:tcPr>
                <w:p>
                  <w:pPr>
                    <w:pStyle w:val="20"/>
                  </w:pPr>
                  <w:r>
                    <w:t>生活营地设垃圾箱，生活垃圾集中收集后统一拉运至</w:t>
                  </w:r>
                  <w:r>
                    <w:rPr>
                      <w:rFonts w:hint="eastAsia"/>
                    </w:rPr>
                    <w:t>乌尔禾区</w:t>
                  </w:r>
                  <w:r>
                    <w:t>生活垃圾填埋场处理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7"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0"/>
                  </w:pPr>
                  <w:r>
                    <w:t>落地油</w:t>
                  </w:r>
                  <w:r>
                    <w:rPr>
                      <w:rFonts w:hint="eastAsia"/>
                    </w:rPr>
                    <w:t>泥</w:t>
                  </w:r>
                </w:p>
              </w:tc>
              <w:tc>
                <w:tcPr>
                  <w:tcW w:w="3602" w:type="pct"/>
                  <w:gridSpan w:val="2"/>
                  <w:vAlign w:val="center"/>
                </w:tcPr>
                <w:p>
                  <w:pPr>
                    <w:pStyle w:val="20"/>
                  </w:pPr>
                  <w:r>
                    <w:t>本项目井下作业时带罐作业，落地油100%回收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7"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4"/>
                    <w:ind w:left="0" w:firstLine="0"/>
                    <w:rPr>
                      <w:rFonts w:ascii="Times New Roman" w:hAnsi="Times New Roman"/>
                      <w:szCs w:val="21"/>
                    </w:rPr>
                  </w:pPr>
                  <w:r>
                    <w:rPr>
                      <w:rFonts w:hint="eastAsia" w:ascii="Times New Roman" w:hAnsi="Times New Roman"/>
                      <w:szCs w:val="21"/>
                    </w:rPr>
                    <w:t>机械设备废油</w:t>
                  </w:r>
                </w:p>
              </w:tc>
              <w:tc>
                <w:tcPr>
                  <w:tcW w:w="3602" w:type="pct"/>
                  <w:gridSpan w:val="2"/>
                  <w:vAlign w:val="center"/>
                </w:tcPr>
                <w:p>
                  <w:pPr>
                    <w:pStyle w:val="24"/>
                    <w:ind w:left="0" w:firstLine="0"/>
                    <w:rPr>
                      <w:rFonts w:ascii="Times New Roman" w:hAnsi="Times New Roman"/>
                      <w:szCs w:val="21"/>
                      <w:lang w:bidi="ar"/>
                    </w:rPr>
                  </w:pPr>
                  <w:r>
                    <w:rPr>
                      <w:rFonts w:hint="eastAsia" w:ascii="Times New Roman" w:hAnsi="Times New Roman"/>
                      <w:szCs w:val="21"/>
                      <w:lang w:bidi="ar"/>
                    </w:rPr>
                    <w:t>机械设备产生的废机油</w:t>
                  </w:r>
                  <w:r>
                    <w:rPr>
                      <w:rFonts w:hint="eastAsia"/>
                    </w:rPr>
                    <w:t>由钻井单位用专用桶集中收集后交由有危废处置资质的单位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7" w:hRule="atLeast"/>
                <w:jc w:val="center"/>
              </w:trPr>
              <w:tc>
                <w:tcPr>
                  <w:tcW w:w="378" w:type="pct"/>
                  <w:vMerge w:val="continue"/>
                  <w:vAlign w:val="center"/>
                </w:tcPr>
                <w:p>
                  <w:pPr>
                    <w:pStyle w:val="20"/>
                  </w:pPr>
                </w:p>
              </w:tc>
              <w:tc>
                <w:tcPr>
                  <w:tcW w:w="297" w:type="pct"/>
                  <w:vMerge w:val="continue"/>
                  <w:vAlign w:val="center"/>
                </w:tcPr>
                <w:p>
                  <w:pPr>
                    <w:pStyle w:val="20"/>
                  </w:pPr>
                </w:p>
              </w:tc>
              <w:tc>
                <w:tcPr>
                  <w:tcW w:w="721" w:type="pct"/>
                  <w:vAlign w:val="center"/>
                </w:tcPr>
                <w:p>
                  <w:pPr>
                    <w:pStyle w:val="24"/>
                    <w:ind w:left="0" w:firstLine="0"/>
                    <w:rPr>
                      <w:rFonts w:ascii="Times New Roman" w:hAnsi="Times New Roman"/>
                      <w:szCs w:val="21"/>
                    </w:rPr>
                  </w:pPr>
                  <w:r>
                    <w:rPr>
                      <w:rFonts w:hint="eastAsia" w:ascii="Times New Roman" w:hAnsi="Times New Roman"/>
                      <w:szCs w:val="21"/>
                    </w:rPr>
                    <w:t>废弃防渗膜</w:t>
                  </w:r>
                </w:p>
              </w:tc>
              <w:tc>
                <w:tcPr>
                  <w:tcW w:w="3602" w:type="pct"/>
                  <w:gridSpan w:val="2"/>
                  <w:vAlign w:val="center"/>
                </w:tcPr>
                <w:p>
                  <w:pPr>
                    <w:pStyle w:val="24"/>
                    <w:ind w:left="0" w:firstLine="0"/>
                    <w:rPr>
                      <w:rFonts w:ascii="Times New Roman" w:hAnsi="Times New Roman"/>
                      <w:szCs w:val="21"/>
                      <w:lang w:bidi="ar"/>
                    </w:rPr>
                  </w:pPr>
                  <w:r>
                    <w:rPr>
                      <w:rFonts w:ascii="Times New Roman" w:hAnsi="Times New Roman"/>
                      <w:szCs w:val="21"/>
                    </w:rPr>
                    <w:t>破损废弃的防渗膜委托</w:t>
                  </w:r>
                  <w:r>
                    <w:rPr>
                      <w:rFonts w:hint="eastAsia" w:ascii="Times New Roman" w:hAnsi="Times New Roman"/>
                      <w:szCs w:val="21"/>
                    </w:rPr>
                    <w:t>危废处置资质的单位处置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8" w:hRule="atLeast"/>
                <w:jc w:val="center"/>
              </w:trPr>
              <w:tc>
                <w:tcPr>
                  <w:tcW w:w="378" w:type="pct"/>
                  <w:vMerge w:val="continue"/>
                  <w:vAlign w:val="center"/>
                </w:tcPr>
                <w:p>
                  <w:pPr>
                    <w:pStyle w:val="20"/>
                  </w:pPr>
                </w:p>
              </w:tc>
              <w:tc>
                <w:tcPr>
                  <w:tcW w:w="1018" w:type="pct"/>
                  <w:gridSpan w:val="2"/>
                  <w:vMerge w:val="restart"/>
                  <w:vAlign w:val="center"/>
                </w:tcPr>
                <w:p>
                  <w:pPr>
                    <w:pStyle w:val="20"/>
                  </w:pPr>
                  <w:r>
                    <w:t>生态恢复</w:t>
                  </w:r>
                </w:p>
              </w:tc>
              <w:tc>
                <w:tcPr>
                  <w:tcW w:w="698" w:type="pct"/>
                  <w:vAlign w:val="center"/>
                </w:tcPr>
                <w:p>
                  <w:pPr>
                    <w:pStyle w:val="20"/>
                  </w:pPr>
                  <w:r>
                    <w:t>井场、生活营地</w:t>
                  </w:r>
                </w:p>
              </w:tc>
              <w:tc>
                <w:tcPr>
                  <w:tcW w:w="2903" w:type="pct"/>
                  <w:vAlign w:val="center"/>
                </w:tcPr>
                <w:p>
                  <w:pPr>
                    <w:pStyle w:val="20"/>
                  </w:pPr>
                  <w:r>
                    <w:t>施工结束后，对井场和生活营地进行平整，</w:t>
                  </w:r>
                  <w:r>
                    <w:rPr>
                      <w:rFonts w:hint="eastAsia"/>
                    </w:rPr>
                    <w:t>植被</w:t>
                  </w:r>
                  <w:r>
                    <w:t>自然恢复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8" w:hRule="atLeast"/>
                <w:jc w:val="center"/>
              </w:trPr>
              <w:tc>
                <w:tcPr>
                  <w:tcW w:w="378" w:type="pct"/>
                  <w:vMerge w:val="continue"/>
                  <w:vAlign w:val="center"/>
                </w:tcPr>
                <w:p>
                  <w:pPr>
                    <w:pStyle w:val="20"/>
                  </w:pPr>
                </w:p>
              </w:tc>
              <w:tc>
                <w:tcPr>
                  <w:tcW w:w="1018" w:type="pct"/>
                  <w:gridSpan w:val="2"/>
                  <w:vMerge w:val="continue"/>
                  <w:vAlign w:val="center"/>
                </w:tcPr>
                <w:p>
                  <w:pPr>
                    <w:pStyle w:val="20"/>
                  </w:pPr>
                </w:p>
              </w:tc>
              <w:tc>
                <w:tcPr>
                  <w:tcW w:w="698" w:type="pct"/>
                  <w:vAlign w:val="center"/>
                </w:tcPr>
                <w:p>
                  <w:pPr>
                    <w:pStyle w:val="20"/>
                  </w:pPr>
                  <w:r>
                    <w:t>井口、临时道路</w:t>
                  </w:r>
                </w:p>
              </w:tc>
              <w:tc>
                <w:tcPr>
                  <w:tcW w:w="2903" w:type="pct"/>
                  <w:vAlign w:val="center"/>
                </w:tcPr>
                <w:p>
                  <w:pPr>
                    <w:pStyle w:val="20"/>
                  </w:pPr>
                  <w:r>
                    <w:t>试油结束后视试油结果决定是否转为生产井，若转为生产井，则应当在产能开发建设前开展其环境影响评价工作，井口安装采油树，临时道路保留；若不具开发价值，井口进行封井，临时道路进行平整，自然恢复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restart"/>
                  <w:tcBorders>
                    <w:top w:val="single" w:color="000000" w:sz="2" w:space="0"/>
                  </w:tcBorders>
                  <w:vAlign w:val="center"/>
                </w:tcPr>
                <w:p>
                  <w:pPr>
                    <w:pStyle w:val="20"/>
                  </w:pPr>
                  <w:r>
                    <w:t>依托工程</w:t>
                  </w:r>
                </w:p>
              </w:tc>
              <w:tc>
                <w:tcPr>
                  <w:tcW w:w="1018" w:type="pct"/>
                  <w:gridSpan w:val="2"/>
                  <w:tcBorders>
                    <w:top w:val="single" w:color="000000" w:sz="2" w:space="0"/>
                  </w:tcBorders>
                  <w:vAlign w:val="center"/>
                </w:tcPr>
                <w:p>
                  <w:pPr>
                    <w:pStyle w:val="20"/>
                    <w:rPr>
                      <w:lang w:val="zh-CN"/>
                    </w:rPr>
                  </w:pPr>
                  <w:r>
                    <w:rPr>
                      <w:rFonts w:hint="eastAsia"/>
                    </w:rPr>
                    <w:t>乌尔禾稀油处理站</w:t>
                  </w:r>
                </w:p>
              </w:tc>
              <w:tc>
                <w:tcPr>
                  <w:tcW w:w="3602" w:type="pct"/>
                  <w:gridSpan w:val="2"/>
                  <w:vAlign w:val="center"/>
                </w:tcPr>
                <w:p>
                  <w:pPr>
                    <w:pStyle w:val="20"/>
                    <w:rPr>
                      <w:lang w:val="zh-CN"/>
                    </w:rPr>
                  </w:pPr>
                  <w:r>
                    <w:t>本项目试油期带罐作业，</w:t>
                  </w:r>
                  <w:r>
                    <w:rPr>
                      <w:rFonts w:hint="eastAsia"/>
                    </w:rPr>
                    <w:t>洗井废水和压裂返排液</w:t>
                  </w:r>
                  <w:r>
                    <w:t>收集后拉运至乌尔禾稀油处理站处理后用于</w:t>
                  </w:r>
                  <w:r>
                    <w:rPr>
                      <w:rFonts w:hint="eastAsia"/>
                    </w:rPr>
                    <w:t>回注油藏</w:t>
                  </w:r>
                  <w:r>
                    <w:t>。乌尔禾稀油处理站设计污水处理规模</w:t>
                  </w:r>
                  <w:r>
                    <w:rPr>
                      <w:rFonts w:hint="eastAsia"/>
                    </w:rPr>
                    <w:t>4</w:t>
                  </w:r>
                  <w:r>
                    <w:t>000m</w:t>
                  </w:r>
                  <w:r>
                    <w:rPr>
                      <w:vertAlign w:val="superscript"/>
                    </w:rPr>
                    <w:t>3</w:t>
                  </w:r>
                  <w:r>
                    <w:t>/d，目前实际处理量为</w:t>
                  </w:r>
                  <w:r>
                    <w:rPr>
                      <w:rFonts w:hint="eastAsia"/>
                    </w:rPr>
                    <w:t>30</w:t>
                  </w:r>
                  <w:r>
                    <w:t>00m</w:t>
                  </w:r>
                  <w:r>
                    <w:rPr>
                      <w:vertAlign w:val="superscript"/>
                    </w:rPr>
                    <w:t>3</w:t>
                  </w:r>
                  <w:r>
                    <w:t>/d，</w:t>
                  </w:r>
                  <w:r>
                    <w:rPr>
                      <w:rFonts w:hint="eastAsia"/>
                    </w:rPr>
                    <w:t>富余1000m</w:t>
                  </w:r>
                  <w:r>
                    <w:rPr>
                      <w:rFonts w:hint="eastAsia"/>
                      <w:vertAlign w:val="superscript"/>
                    </w:rPr>
                    <w:t>3</w:t>
                  </w:r>
                  <w:r>
                    <w:rPr>
                      <w:rFonts w:hint="eastAsia"/>
                    </w:rPr>
                    <w:t>/d，</w:t>
                  </w:r>
                  <w:r>
                    <w:t>本项目产生</w:t>
                  </w:r>
                  <w:r>
                    <w:rPr>
                      <w:rFonts w:hint="eastAsia"/>
                    </w:rPr>
                    <w:t>洗井</w:t>
                  </w:r>
                  <w:r>
                    <w:t>废水量共计</w:t>
                  </w:r>
                  <w:r>
                    <w:rPr>
                      <w:rFonts w:hint="eastAsia"/>
                    </w:rPr>
                    <w:t>81.39t</w:t>
                  </w:r>
                  <w:r>
                    <w:t>，</w:t>
                  </w:r>
                  <w:r>
                    <w:rPr>
                      <w:rFonts w:hint="eastAsia"/>
                    </w:rPr>
                    <w:t>依托可行。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1018" w:type="pct"/>
                  <w:gridSpan w:val="2"/>
                  <w:vAlign w:val="center"/>
                </w:tcPr>
                <w:p>
                  <w:pPr>
                    <w:pStyle w:val="20"/>
                  </w:pPr>
                  <w:r>
                    <w:t>乌尔禾区污水处理厂</w:t>
                  </w:r>
                </w:p>
              </w:tc>
              <w:tc>
                <w:tcPr>
                  <w:tcW w:w="3602" w:type="pct"/>
                  <w:gridSpan w:val="2"/>
                  <w:vAlign w:val="center"/>
                </w:tcPr>
                <w:p>
                  <w:pPr>
                    <w:pStyle w:val="20"/>
                  </w:pPr>
                  <w:r>
                    <w:t>乌尔禾区污水处理厂规划污水处理能力近期</w:t>
                  </w:r>
                  <w:r>
                    <w:rPr>
                      <w:rFonts w:hint="eastAsia"/>
                    </w:rPr>
                    <w:t>6</w:t>
                  </w:r>
                  <w:r>
                    <w:t>×10</w:t>
                  </w:r>
                  <w:r>
                    <w:rPr>
                      <w:rFonts w:hint="eastAsia"/>
                      <w:vertAlign w:val="superscript"/>
                    </w:rPr>
                    <w:t>3</w:t>
                  </w:r>
                  <w:r>
                    <w:t>m</w:t>
                  </w:r>
                  <w:r>
                    <w:rPr>
                      <w:vertAlign w:val="superscript"/>
                    </w:rPr>
                    <w:t>3</w:t>
                  </w:r>
                  <w:r>
                    <w:t>/d，远期12×10</w:t>
                  </w:r>
                  <w:r>
                    <w:rPr>
                      <w:rFonts w:hint="eastAsia"/>
                      <w:vertAlign w:val="superscript"/>
                    </w:rPr>
                    <w:t>3</w:t>
                  </w:r>
                  <w:r>
                    <w:t>m</w:t>
                  </w:r>
                  <w:r>
                    <w:rPr>
                      <w:vertAlign w:val="superscript"/>
                    </w:rPr>
                    <w:t>3</w:t>
                  </w:r>
                  <w:r>
                    <w:t>/d。目前，乌尔禾污水处理厂</w:t>
                  </w:r>
                  <w:r>
                    <w:rPr>
                      <w:rFonts w:hint="eastAsia"/>
                      <w:bCs/>
                    </w:rPr>
                    <w:t>设计处理规模6</w:t>
                  </w:r>
                  <w:r>
                    <w:rPr>
                      <w:bCs/>
                    </w:rPr>
                    <w:t>000m</w:t>
                  </w:r>
                  <w:r>
                    <w:rPr>
                      <w:bCs/>
                      <w:vertAlign w:val="superscript"/>
                    </w:rPr>
                    <w:t>3</w:t>
                  </w:r>
                  <w:r>
                    <w:rPr>
                      <w:bCs/>
                    </w:rPr>
                    <w:t>/d，</w:t>
                  </w:r>
                  <w:r>
                    <w:rPr>
                      <w:rFonts w:hint="eastAsia"/>
                      <w:bCs/>
                    </w:rPr>
                    <w:t>实际处理量4000m</w:t>
                  </w:r>
                  <w:r>
                    <w:rPr>
                      <w:rFonts w:hint="eastAsia"/>
                      <w:bCs/>
                      <w:vertAlign w:val="superscript"/>
                    </w:rPr>
                    <w:t>3</w:t>
                  </w:r>
                  <w:r>
                    <w:rPr>
                      <w:rFonts w:hint="eastAsia"/>
                      <w:bCs/>
                    </w:rPr>
                    <w:t>/d，剩余处理能力为</w:t>
                  </w:r>
                  <w:r>
                    <w:rPr>
                      <w:bCs/>
                    </w:rPr>
                    <w:t>2000m</w:t>
                  </w:r>
                  <w:r>
                    <w:rPr>
                      <w:bCs/>
                      <w:vertAlign w:val="superscript"/>
                    </w:rPr>
                    <w:t>3</w:t>
                  </w:r>
                  <w:r>
                    <w:rPr>
                      <w:bCs/>
                    </w:rPr>
                    <w:t>/d</w:t>
                  </w:r>
                  <w:r>
                    <w:rPr>
                      <w:rFonts w:hint="eastAsia"/>
                      <w:bCs/>
                    </w:rPr>
                    <w:t>，</w:t>
                  </w:r>
                  <w:r>
                    <w:t>本项目钻井期生活污水定期拉运至乌尔禾区污水处理厂，钻井期间生活污水总产生量</w:t>
                  </w:r>
                  <w:r>
                    <w:rPr>
                      <w:rFonts w:hint="eastAsia"/>
                    </w:rPr>
                    <w:t>201.6</w:t>
                  </w:r>
                  <w:r>
                    <w:t>m</w:t>
                  </w:r>
                  <w:r>
                    <w:rPr>
                      <w:vertAlign w:val="superscript"/>
                    </w:rPr>
                    <w:t>3</w:t>
                  </w:r>
                  <w:r>
                    <w:t>，可接纳本工程产生的生活污水量。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jc w:val="center"/>
              </w:trPr>
              <w:tc>
                <w:tcPr>
                  <w:tcW w:w="378" w:type="pct"/>
                  <w:vMerge w:val="continue"/>
                  <w:vAlign w:val="center"/>
                </w:tcPr>
                <w:p>
                  <w:pPr>
                    <w:pStyle w:val="20"/>
                  </w:pPr>
                </w:p>
              </w:tc>
              <w:tc>
                <w:tcPr>
                  <w:tcW w:w="1018" w:type="pct"/>
                  <w:gridSpan w:val="2"/>
                  <w:vAlign w:val="center"/>
                </w:tcPr>
                <w:p>
                  <w:pPr>
                    <w:pStyle w:val="20"/>
                  </w:pPr>
                  <w:r>
                    <w:rPr>
                      <w:rFonts w:hint="eastAsia"/>
                    </w:rPr>
                    <w:t>乌尔禾区</w:t>
                  </w:r>
                  <w:r>
                    <w:t>生活垃圾</w:t>
                  </w:r>
                  <w:r>
                    <w:rPr>
                      <w:rFonts w:hint="eastAsia"/>
                    </w:rPr>
                    <w:t>填埋场</w:t>
                  </w:r>
                </w:p>
              </w:tc>
              <w:tc>
                <w:tcPr>
                  <w:tcW w:w="3602" w:type="pct"/>
                  <w:gridSpan w:val="2"/>
                  <w:vAlign w:val="center"/>
                </w:tcPr>
                <w:p>
                  <w:pPr>
                    <w:pStyle w:val="20"/>
                  </w:pPr>
                  <w:r>
                    <w:rPr>
                      <w:rFonts w:hint="eastAsia"/>
                    </w:rPr>
                    <w:t>乌尔禾区生活垃圾填埋场设计总库容约</w:t>
                  </w:r>
                  <w:r>
                    <w:t>240</w:t>
                  </w:r>
                  <w:r>
                    <w:rPr>
                      <w:rFonts w:hint="eastAsia"/>
                    </w:rPr>
                    <w:t>万立方米，实际有效库容为</w:t>
                  </w:r>
                  <w:r>
                    <w:t>192</w:t>
                  </w:r>
                  <w:r>
                    <w:rPr>
                      <w:rFonts w:hint="eastAsia"/>
                    </w:rPr>
                    <w:t>万立方米，目前已经使用库容</w:t>
                  </w:r>
                  <w:r>
                    <w:t>48</w:t>
                  </w:r>
                  <w:r>
                    <w:rPr>
                      <w:rFonts w:hint="eastAsia"/>
                    </w:rPr>
                    <w:t>万立方米，日处理规模</w:t>
                  </w:r>
                  <w:r>
                    <w:t>30t/d</w:t>
                  </w:r>
                  <w:r>
                    <w:rPr>
                      <w:rFonts w:hint="eastAsia"/>
                    </w:rPr>
                    <w:t>。</w:t>
                  </w:r>
                  <w:r>
                    <w:t>本项目整个钻井期生活垃圾量</w:t>
                  </w:r>
                  <w:r>
                    <w:rPr>
                      <w:rFonts w:hint="eastAsia"/>
                    </w:rPr>
                    <w:t>1.58</w:t>
                  </w:r>
                  <w:r>
                    <w:t>t，</w:t>
                  </w:r>
                  <w:r>
                    <w:rPr>
                      <w:rFonts w:hint="eastAsia"/>
                    </w:rPr>
                    <w:t>产生量</w:t>
                  </w:r>
                  <w:r>
                    <w:t>很</w:t>
                  </w:r>
                  <w:r>
                    <w:rPr>
                      <w:rFonts w:hint="eastAsia"/>
                    </w:rPr>
                    <w:t>少</w:t>
                  </w:r>
                  <w:r>
                    <w:t>，</w:t>
                  </w:r>
                  <w:r>
                    <w:rPr>
                      <w:rFonts w:hint="eastAsia"/>
                    </w:rPr>
                    <w:t>目前乌尔禾区生活垃圾填埋场有较多容量剩余，</w:t>
                  </w:r>
                  <w:r>
                    <w:t>可接收本项目钻井期生活垃圾，依托可行。</w:t>
                  </w:r>
                </w:p>
              </w:tc>
            </w:tr>
          </w:tbl>
          <w:p>
            <w:pPr>
              <w:pStyle w:val="18"/>
            </w:pPr>
            <w:r>
              <w:t>2 油气储层情况</w:t>
            </w:r>
          </w:p>
          <w:p>
            <w:pPr>
              <w:pStyle w:val="19"/>
            </w:pPr>
            <w:r>
              <w:t>2.1</w:t>
            </w:r>
            <w:r>
              <w:rPr>
                <w:rFonts w:hint="eastAsia"/>
              </w:rPr>
              <w:t xml:space="preserve"> 地质分层</w:t>
            </w:r>
          </w:p>
          <w:p>
            <w:pPr>
              <w:widowControl/>
              <w:ind w:firstLine="480"/>
              <w:jc w:val="left"/>
            </w:pPr>
            <w:r>
              <w:rPr>
                <w:rFonts w:hint="eastAsia" w:ascii="宋体" w:hAnsi="宋体" w:cs="宋体"/>
                <w:color w:val="000000"/>
                <w:kern w:val="0"/>
                <w:lang w:bidi="ar"/>
              </w:rPr>
              <w:t>本次拟钻井地层见表</w:t>
            </w:r>
            <w:r>
              <w:rPr>
                <w:color w:val="000000"/>
                <w:kern w:val="0"/>
                <w:lang w:bidi="ar"/>
              </w:rPr>
              <w:t>2-2</w:t>
            </w:r>
            <w:r>
              <w:rPr>
                <w:rFonts w:hint="eastAsia" w:ascii="宋体" w:hAnsi="宋体" w:cs="宋体"/>
                <w:color w:val="000000"/>
                <w:kern w:val="0"/>
                <w:lang w:bidi="ar"/>
              </w:rPr>
              <w:t>。</w:t>
            </w:r>
          </w:p>
          <w:p>
            <w:pPr>
              <w:spacing w:before="120" w:beforeLines="50"/>
              <w:ind w:firstLine="414"/>
              <w:jc w:val="center"/>
              <w:rPr>
                <w:b/>
                <w:spacing w:val="-2"/>
                <w:sz w:val="21"/>
                <w:szCs w:val="21"/>
              </w:rPr>
            </w:pPr>
            <w:r>
              <w:rPr>
                <w:b/>
                <w:spacing w:val="-2"/>
                <w:sz w:val="21"/>
                <w:szCs w:val="21"/>
              </w:rPr>
              <w:t>表</w:t>
            </w:r>
            <w:r>
              <w:rPr>
                <w:rFonts w:hint="eastAsia"/>
                <w:b/>
                <w:spacing w:val="-2"/>
                <w:sz w:val="21"/>
                <w:szCs w:val="21"/>
              </w:rPr>
              <w:t>2-2</w:t>
            </w:r>
            <w:r>
              <w:rPr>
                <w:b/>
                <w:spacing w:val="-2"/>
                <w:sz w:val="21"/>
                <w:szCs w:val="21"/>
              </w:rPr>
              <w:t xml:space="preserve">  夏子街油田地层简表</w:t>
            </w:r>
          </w:p>
          <w:tbl>
            <w:tblPr>
              <w:tblStyle w:val="14"/>
              <w:tblW w:w="0" w:type="auto"/>
              <w:tblInd w:w="0" w:type="dxa"/>
              <w:tblLayout w:type="fixed"/>
              <w:tblCellMar>
                <w:top w:w="15" w:type="dxa"/>
                <w:left w:w="15" w:type="dxa"/>
                <w:bottom w:w="15" w:type="dxa"/>
                <w:right w:w="15" w:type="dxa"/>
              </w:tblCellMar>
            </w:tblPr>
            <w:tblGrid>
              <w:gridCol w:w="841"/>
              <w:gridCol w:w="527"/>
              <w:gridCol w:w="1248"/>
              <w:gridCol w:w="904"/>
              <w:gridCol w:w="991"/>
              <w:gridCol w:w="3856"/>
            </w:tblGrid>
            <w:tr>
              <w:tblPrEx>
                <w:tblCellMar>
                  <w:top w:w="15" w:type="dxa"/>
                  <w:left w:w="15" w:type="dxa"/>
                  <w:bottom w:w="15" w:type="dxa"/>
                  <w:right w:w="15" w:type="dxa"/>
                </w:tblCellMar>
              </w:tblPrEx>
              <w:trPr>
                <w:trHeight w:val="281" w:hRule="atLeast"/>
              </w:trPr>
              <w:tc>
                <w:tcPr>
                  <w:tcW w:w="3520" w:type="dxa"/>
                  <w:gridSpan w:val="4"/>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层       位</w:t>
                  </w:r>
                </w:p>
              </w:tc>
              <w:tc>
                <w:tcPr>
                  <w:tcW w:w="991" w:type="dxa"/>
                  <w:vMerge w:val="restart"/>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厚度/m</w:t>
                  </w:r>
                </w:p>
              </w:tc>
              <w:tc>
                <w:tcPr>
                  <w:tcW w:w="3856" w:type="dxa"/>
                  <w:vMerge w:val="restart"/>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岩性描述</w:t>
                  </w:r>
                </w:p>
              </w:tc>
            </w:tr>
            <w:tr>
              <w:trPr>
                <w:trHeight w:val="310" w:hRule="atLeast"/>
              </w:trPr>
              <w:tc>
                <w:tcPr>
                  <w:tcW w:w="841"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系</w:t>
                  </w: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地层代号</w:t>
                  </w:r>
                </w:p>
              </w:tc>
              <w:tc>
                <w:tcPr>
                  <w:tcW w:w="99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3856"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r>
            <w:tr>
              <w:tblPrEx>
                <w:tblCellMar>
                  <w:top w:w="15" w:type="dxa"/>
                  <w:left w:w="15" w:type="dxa"/>
                  <w:bottom w:w="15" w:type="dxa"/>
                  <w:right w:w="15" w:type="dxa"/>
                </w:tblCellMar>
              </w:tblPrEx>
              <w:trPr>
                <w:trHeight w:val="64" w:hRule="atLeast"/>
              </w:trPr>
              <w:tc>
                <w:tcPr>
                  <w:tcW w:w="84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白垩系</w:t>
                  </w:r>
                </w:p>
                <w:p>
                  <w:pPr>
                    <w:pStyle w:val="20"/>
                  </w:pPr>
                  <w:r>
                    <w:rPr>
                      <w:rFonts w:hint="eastAsia"/>
                    </w:rPr>
                    <w:t>K</w:t>
                  </w: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下统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吐谷鲁群</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K</w:t>
                  </w:r>
                  <w:r>
                    <w:rPr>
                      <w:rFonts w:hint="eastAsia"/>
                      <w:vertAlign w:val="subscript"/>
                    </w:rPr>
                    <w:t>1</w:t>
                  </w:r>
                  <w:r>
                    <w:rPr>
                      <w:rFonts w:hint="eastAsia"/>
                      <w:i/>
                      <w:iCs/>
                    </w:rPr>
                    <w:t>tg</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750~1000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厚层状灰褐色泥岩、砂质泥岩；底部为浅灰色中－细砂岩、砂砾岩</w:t>
                  </w:r>
                </w:p>
              </w:tc>
            </w:tr>
            <w:tr>
              <w:tblPrEx>
                <w:tblCellMar>
                  <w:top w:w="15" w:type="dxa"/>
                  <w:left w:w="15" w:type="dxa"/>
                  <w:bottom w:w="15" w:type="dxa"/>
                  <w:right w:w="15" w:type="dxa"/>
                </w:tblCellMar>
              </w:tblPrEx>
              <w:trPr>
                <w:trHeight w:val="43" w:hRule="atLeast"/>
              </w:trPr>
              <w:tc>
                <w:tcPr>
                  <w:tcW w:w="841"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侏罗系</w:t>
                  </w:r>
                </w:p>
                <w:p>
                  <w:pPr>
                    <w:pStyle w:val="20"/>
                  </w:pPr>
                  <w:r>
                    <w:rPr>
                      <w:rFonts w:hint="eastAsia"/>
                    </w:rPr>
                    <w:t>J</w:t>
                  </w: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上统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齐古组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J</w:t>
                  </w:r>
                  <w:r>
                    <w:rPr>
                      <w:rFonts w:hint="eastAsia"/>
                      <w:vertAlign w:val="subscript"/>
                    </w:rPr>
                    <w:t>3</w:t>
                  </w:r>
                  <w:r>
                    <w:rPr>
                      <w:rFonts w:hint="eastAsia"/>
                      <w:i/>
                      <w:iCs/>
                    </w:rPr>
                    <w:t>q</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60~120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灰白色泥质粉砂岩及砂质不等粒小砾岩互层</w:t>
                  </w:r>
                </w:p>
              </w:tc>
            </w:tr>
            <w:tr>
              <w:tblPrEx>
                <w:tblCellMar>
                  <w:top w:w="15" w:type="dxa"/>
                  <w:left w:w="15" w:type="dxa"/>
                  <w:bottom w:w="15" w:type="dxa"/>
                  <w:right w:w="15" w:type="dxa"/>
                </w:tblCellMar>
              </w:tblPrEx>
              <w:trPr>
                <w:trHeight w:val="43"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中统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头屯河组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J</w:t>
                  </w:r>
                  <w:r>
                    <w:rPr>
                      <w:rFonts w:hint="eastAsia"/>
                      <w:vertAlign w:val="subscript"/>
                    </w:rPr>
                    <w:t>2</w:t>
                  </w:r>
                  <w:r>
                    <w:rPr>
                      <w:rFonts w:hint="eastAsia"/>
                      <w:i/>
                      <w:iCs/>
                    </w:rPr>
                    <w:t>t</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40~120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棕色泥岩、粘土岩、不等砾砂岩、泥质砂岩</w:t>
                  </w:r>
                </w:p>
              </w:tc>
            </w:tr>
            <w:tr>
              <w:tblPrEx>
                <w:tblCellMar>
                  <w:top w:w="15" w:type="dxa"/>
                  <w:left w:w="15" w:type="dxa"/>
                  <w:bottom w:w="15" w:type="dxa"/>
                  <w:right w:w="15" w:type="dxa"/>
                </w:tblCellMar>
              </w:tblPrEx>
              <w:trPr>
                <w:trHeight w:val="43"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西山窑组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J</w:t>
                  </w:r>
                  <w:r>
                    <w:rPr>
                      <w:rFonts w:hint="eastAsia"/>
                      <w:vertAlign w:val="subscript"/>
                    </w:rPr>
                    <w:t>2</w:t>
                  </w:r>
                  <w:r>
                    <w:rPr>
                      <w:rFonts w:hint="eastAsia"/>
                      <w:i/>
                      <w:iCs/>
                    </w:rPr>
                    <w:t>x</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60~120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灰绿色泥岩、含砾不等粒砂岩、煤层</w:t>
                  </w:r>
                </w:p>
              </w:tc>
            </w:tr>
            <w:tr>
              <w:tblPrEx>
                <w:tblCellMar>
                  <w:top w:w="15" w:type="dxa"/>
                  <w:left w:w="15" w:type="dxa"/>
                  <w:bottom w:w="15" w:type="dxa"/>
                  <w:right w:w="15" w:type="dxa"/>
                </w:tblCellMar>
              </w:tblPrEx>
              <w:trPr>
                <w:trHeight w:val="64"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下统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三工河组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J</w:t>
                  </w:r>
                  <w:r>
                    <w:rPr>
                      <w:rFonts w:hint="eastAsia"/>
                      <w:vertAlign w:val="subscript"/>
                    </w:rPr>
                    <w:t>1</w:t>
                  </w:r>
                  <w:r>
                    <w:rPr>
                      <w:rFonts w:hint="eastAsia"/>
                      <w:i/>
                      <w:iCs/>
                    </w:rPr>
                    <w:t>s</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60~140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上部为灰白色泥质粉砂岩、细砂岩，下部为灰色砂质泥岩</w:t>
                  </w:r>
                </w:p>
              </w:tc>
            </w:tr>
            <w:tr>
              <w:tblPrEx>
                <w:tblCellMar>
                  <w:top w:w="15" w:type="dxa"/>
                  <w:left w:w="15" w:type="dxa"/>
                  <w:bottom w:w="15" w:type="dxa"/>
                  <w:right w:w="15" w:type="dxa"/>
                </w:tblCellMar>
              </w:tblPrEx>
              <w:trPr>
                <w:trHeight w:val="64"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八道湾组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J</w:t>
                  </w:r>
                  <w:r>
                    <w:rPr>
                      <w:rFonts w:hint="eastAsia"/>
                      <w:vertAlign w:val="subscript"/>
                    </w:rPr>
                    <w:t>1</w:t>
                  </w:r>
                  <w:r>
                    <w:rPr>
                      <w:rFonts w:hint="eastAsia"/>
                      <w:i/>
                      <w:iCs/>
                    </w:rPr>
                    <w:t>b</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40~120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上部为灰色泥岩、灰色中细砂岩互层，下部为不等粒砂砾岩</w:t>
                  </w:r>
                </w:p>
              </w:tc>
            </w:tr>
            <w:tr>
              <w:tblPrEx>
                <w:tblCellMar>
                  <w:top w:w="15" w:type="dxa"/>
                  <w:left w:w="15" w:type="dxa"/>
                  <w:bottom w:w="15" w:type="dxa"/>
                  <w:right w:w="15" w:type="dxa"/>
                </w:tblCellMar>
              </w:tblPrEx>
              <w:trPr>
                <w:trHeight w:val="30" w:hRule="atLeast"/>
              </w:trPr>
              <w:tc>
                <w:tcPr>
                  <w:tcW w:w="841"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三叠系</w:t>
                  </w:r>
                </w:p>
                <w:p>
                  <w:pPr>
                    <w:pStyle w:val="20"/>
                  </w:pPr>
                  <w:r>
                    <w:rPr>
                      <w:rFonts w:hint="eastAsia"/>
                    </w:rPr>
                    <w:t>T</w:t>
                  </w: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上统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白碱滩组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T</w:t>
                  </w:r>
                  <w:r>
                    <w:rPr>
                      <w:rFonts w:hint="eastAsia"/>
                      <w:vertAlign w:val="subscript"/>
                    </w:rPr>
                    <w:t>3</w:t>
                  </w:r>
                  <w:r>
                    <w:rPr>
                      <w:rFonts w:hint="eastAsia"/>
                      <w:i/>
                      <w:iCs/>
                    </w:rPr>
                    <w:t>b</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0~180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厚层状灰色、深灰色泥岩</w:t>
                  </w:r>
                </w:p>
              </w:tc>
            </w:tr>
            <w:tr>
              <w:tblPrEx>
                <w:tblCellMar>
                  <w:top w:w="15" w:type="dxa"/>
                  <w:left w:w="15" w:type="dxa"/>
                  <w:bottom w:w="15" w:type="dxa"/>
                  <w:right w:w="15" w:type="dxa"/>
                </w:tblCellMar>
              </w:tblPrEx>
              <w:trPr>
                <w:trHeight w:val="30"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中统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上克拉玛依组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T</w:t>
                  </w:r>
                  <w:r>
                    <w:rPr>
                      <w:rFonts w:hint="eastAsia"/>
                      <w:vertAlign w:val="subscript"/>
                    </w:rPr>
                    <w:t>2</w:t>
                  </w:r>
                  <w:r>
                    <w:rPr>
                      <w:rFonts w:hint="eastAsia"/>
                      <w:i/>
                      <w:iCs/>
                    </w:rPr>
                    <w:t>k</w:t>
                  </w:r>
                  <w:r>
                    <w:rPr>
                      <w:rFonts w:hint="eastAsia"/>
                      <w:i/>
                      <w:iCs/>
                      <w:vertAlign w:val="subscript"/>
                    </w:rPr>
                    <w:t>2</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0~210</w:t>
                  </w:r>
                </w:p>
              </w:tc>
              <w:tc>
                <w:tcPr>
                  <w:tcW w:w="3856"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灰色、绿灰色不等粒砂砾岩与棕色泥岩不等厚互层</w:t>
                  </w:r>
                </w:p>
              </w:tc>
            </w:tr>
            <w:tr>
              <w:tblPrEx>
                <w:tblCellMar>
                  <w:top w:w="15" w:type="dxa"/>
                  <w:left w:w="15" w:type="dxa"/>
                  <w:bottom w:w="15" w:type="dxa"/>
                  <w:right w:w="15" w:type="dxa"/>
                </w:tblCellMar>
              </w:tblPrEx>
              <w:trPr>
                <w:trHeight w:val="30"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下克拉玛依组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T</w:t>
                  </w:r>
                  <w:r>
                    <w:rPr>
                      <w:rFonts w:hint="eastAsia"/>
                      <w:vertAlign w:val="subscript"/>
                    </w:rPr>
                    <w:t>2</w:t>
                  </w:r>
                  <w:r>
                    <w:rPr>
                      <w:rFonts w:hint="eastAsia"/>
                      <w:i/>
                      <w:iCs/>
                    </w:rPr>
                    <w:t>k</w:t>
                  </w:r>
                  <w:r>
                    <w:rPr>
                      <w:rFonts w:hint="eastAsia"/>
                      <w:i/>
                      <w:iCs/>
                      <w:vertAlign w:val="subscript"/>
                    </w:rPr>
                    <w:t>1</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0~180</w:t>
                  </w:r>
                </w:p>
              </w:tc>
              <w:tc>
                <w:tcPr>
                  <w:tcW w:w="3856"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r>
            <w:tr>
              <w:tblPrEx>
                <w:tblCellMar>
                  <w:top w:w="15" w:type="dxa"/>
                  <w:left w:w="15" w:type="dxa"/>
                  <w:bottom w:w="15" w:type="dxa"/>
                  <w:right w:w="15" w:type="dxa"/>
                </w:tblCellMar>
              </w:tblPrEx>
              <w:trPr>
                <w:trHeight w:val="64"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下统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百口泉组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T</w:t>
                  </w:r>
                  <w:r>
                    <w:rPr>
                      <w:rFonts w:hint="eastAsia"/>
                      <w:vertAlign w:val="subscript"/>
                    </w:rPr>
                    <w:t>1</w:t>
                  </w:r>
                  <w:r>
                    <w:rPr>
                      <w:rFonts w:hint="eastAsia"/>
                      <w:i/>
                      <w:iCs/>
                    </w:rPr>
                    <w:t>b</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0~180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棕褐色砂质泥岩、泥质小砾岩、不等粒砾岩及砂砾岩</w:t>
                  </w:r>
                </w:p>
              </w:tc>
            </w:tr>
            <w:tr>
              <w:tblPrEx>
                <w:tblCellMar>
                  <w:top w:w="15" w:type="dxa"/>
                  <w:left w:w="15" w:type="dxa"/>
                  <w:bottom w:w="15" w:type="dxa"/>
                  <w:right w:w="15" w:type="dxa"/>
                </w:tblCellMar>
              </w:tblPrEx>
              <w:trPr>
                <w:trHeight w:val="64" w:hRule="atLeast"/>
              </w:trPr>
              <w:tc>
                <w:tcPr>
                  <w:tcW w:w="841"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二叠系</w:t>
                  </w:r>
                </w:p>
                <w:p>
                  <w:pPr>
                    <w:pStyle w:val="20"/>
                  </w:pPr>
                  <w:r>
                    <w:rPr>
                      <w:rFonts w:hint="eastAsia"/>
                    </w:rPr>
                    <w:t>P</w:t>
                  </w:r>
                </w:p>
              </w:tc>
              <w:tc>
                <w:tcPr>
                  <w:tcW w:w="527" w:type="dxa"/>
                  <w:vMerge w:val="restart"/>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中统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下乌尔禾组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P</w:t>
                  </w:r>
                  <w:r>
                    <w:rPr>
                      <w:rFonts w:hint="eastAsia"/>
                      <w:vertAlign w:val="subscript"/>
                    </w:rPr>
                    <w:t>2</w:t>
                  </w:r>
                  <w:r>
                    <w:rPr>
                      <w:rFonts w:hint="eastAsia"/>
                      <w:i/>
                      <w:iCs/>
                    </w:rPr>
                    <w:t>w</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200~600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棕色泥岩、砂质泥岩与绿灰色砂砾岩互层，夹薄层砂质小砾岩</w:t>
                  </w:r>
                </w:p>
              </w:tc>
            </w:tr>
            <w:tr>
              <w:tblPrEx>
                <w:tblCellMar>
                  <w:top w:w="15" w:type="dxa"/>
                  <w:left w:w="15" w:type="dxa"/>
                  <w:bottom w:w="15" w:type="dxa"/>
                  <w:right w:w="15" w:type="dxa"/>
                </w:tblCellMar>
              </w:tblPrEx>
              <w:trPr>
                <w:trHeight w:val="64"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夏子街组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P</w:t>
                  </w:r>
                  <w:r>
                    <w:rPr>
                      <w:rFonts w:hint="eastAsia"/>
                      <w:vertAlign w:val="subscript"/>
                    </w:rPr>
                    <w:t>2</w:t>
                  </w:r>
                  <w:r>
                    <w:rPr>
                      <w:rFonts w:hint="eastAsia"/>
                      <w:i/>
                      <w:iCs/>
                    </w:rPr>
                    <w:t>x</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200~600</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深褐色泥岩、砂质泥岩与褐灰色泥质粉细砂岩、凝灰质粉砂岩互层</w:t>
                  </w:r>
                </w:p>
              </w:tc>
            </w:tr>
            <w:tr>
              <w:tblPrEx>
                <w:tblCellMar>
                  <w:top w:w="15" w:type="dxa"/>
                  <w:left w:w="15" w:type="dxa"/>
                  <w:bottom w:w="15" w:type="dxa"/>
                  <w:right w:w="15" w:type="dxa"/>
                </w:tblCellMar>
              </w:tblPrEx>
              <w:trPr>
                <w:trHeight w:val="197" w:hRule="atLeast"/>
              </w:trPr>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pStyle w:val="20"/>
                  </w:pPr>
                </w:p>
              </w:tc>
              <w:tc>
                <w:tcPr>
                  <w:tcW w:w="527"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下统</w:t>
                  </w:r>
                </w:p>
              </w:tc>
              <w:tc>
                <w:tcPr>
                  <w:tcW w:w="124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风城组</w:t>
                  </w:r>
                </w:p>
              </w:tc>
              <w:tc>
                <w:tcPr>
                  <w:tcW w:w="904"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P</w:t>
                  </w:r>
                  <w:r>
                    <w:rPr>
                      <w:rFonts w:hint="eastAsia"/>
                      <w:vertAlign w:val="subscript"/>
                    </w:rPr>
                    <w:t>1</w:t>
                  </w:r>
                  <w:r>
                    <w:rPr>
                      <w:rFonts w:hint="eastAsia"/>
                      <w:i/>
                      <w:iCs/>
                    </w:rPr>
                    <w:t>f</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未穿</w:t>
                  </w:r>
                </w:p>
              </w:tc>
              <w:tc>
                <w:tcPr>
                  <w:tcW w:w="3856"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上部以泥岩沉积为主，下部以凝灰岩沉积为主</w:t>
                  </w:r>
                </w:p>
              </w:tc>
            </w:tr>
          </w:tbl>
          <w:p>
            <w:pPr>
              <w:pStyle w:val="19"/>
            </w:pPr>
            <w:r>
              <w:t>2.2</w:t>
            </w:r>
            <w:r>
              <w:rPr>
                <w:rFonts w:hint="eastAsia"/>
              </w:rPr>
              <w:t xml:space="preserve"> </w:t>
            </w:r>
            <w:r>
              <w:t>构造特征</w:t>
            </w:r>
          </w:p>
          <w:p>
            <w:pPr>
              <w:pStyle w:val="19"/>
              <w:ind w:firstLine="480" w:firstLineChars="200"/>
              <w:rPr>
                <w:b w:val="0"/>
                <w:bCs/>
              </w:rPr>
            </w:pPr>
            <w:r>
              <w:rPr>
                <w:rFonts w:hint="eastAsia"/>
                <w:b w:val="0"/>
              </w:rPr>
              <w:t>通过夏80井区三维地震资料进行构造精细解释，识别夏9井断块-岩性圈闭，面积为48.8km</w:t>
            </w:r>
            <w:r>
              <w:rPr>
                <w:rFonts w:hint="eastAsia"/>
                <w:b w:val="0"/>
                <w:vertAlign w:val="superscript"/>
              </w:rPr>
              <w:t>2</w:t>
            </w:r>
            <w:r>
              <w:rPr>
                <w:rFonts w:hint="eastAsia"/>
                <w:b w:val="0"/>
              </w:rPr>
              <w:t>，闭合度390m，高点埋深-1370m，夏37井区块侏罗系八道湾组构造受夏59井断裂、夏87井北断裂、夏10井断裂夹持，三条断裂均为东西走向。区块内整体表现为单斜构造。</w:t>
            </w:r>
            <w:r>
              <w:rPr>
                <w:b w:val="0"/>
                <w:bCs/>
              </w:rPr>
              <w:t>断裂要素表见表</w:t>
            </w:r>
            <w:r>
              <w:rPr>
                <w:rFonts w:hint="eastAsia"/>
                <w:b w:val="0"/>
                <w:bCs/>
              </w:rPr>
              <w:t>2-3</w:t>
            </w:r>
            <w:r>
              <w:rPr>
                <w:b w:val="0"/>
                <w:bCs/>
              </w:rPr>
              <w:t>。</w:t>
            </w:r>
            <w:r>
              <w:rPr>
                <w:rFonts w:hint="eastAsia"/>
                <w:b w:val="0"/>
                <w:bCs/>
              </w:rPr>
              <w:t>圈闭要素详见表2-4。</w:t>
            </w:r>
          </w:p>
          <w:p>
            <w:pPr>
              <w:ind w:firstLine="414"/>
              <w:jc w:val="center"/>
              <w:rPr>
                <w:b/>
                <w:spacing w:val="-2"/>
                <w:sz w:val="21"/>
                <w:szCs w:val="21"/>
              </w:rPr>
            </w:pPr>
            <w:r>
              <w:rPr>
                <w:b/>
                <w:spacing w:val="-2"/>
                <w:sz w:val="21"/>
                <w:szCs w:val="21"/>
              </w:rPr>
              <w:t>表</w:t>
            </w:r>
            <w:r>
              <w:rPr>
                <w:rFonts w:hint="eastAsia"/>
                <w:b/>
                <w:spacing w:val="-2"/>
                <w:sz w:val="21"/>
                <w:szCs w:val="21"/>
              </w:rPr>
              <w:t>2-3</w:t>
            </w:r>
            <w:r>
              <w:rPr>
                <w:b/>
                <w:spacing w:val="-2"/>
                <w:sz w:val="21"/>
                <w:szCs w:val="21"/>
              </w:rPr>
              <w:t xml:space="preserve">  </w:t>
            </w:r>
            <w:r>
              <w:rPr>
                <w:rFonts w:hint="eastAsia"/>
                <w:b/>
                <w:spacing w:val="-2"/>
                <w:sz w:val="21"/>
                <w:szCs w:val="21"/>
              </w:rPr>
              <w:t>夏</w:t>
            </w:r>
            <w:r>
              <w:rPr>
                <w:b/>
                <w:spacing w:val="-2"/>
                <w:sz w:val="21"/>
                <w:szCs w:val="21"/>
              </w:rPr>
              <w:t>37</w:t>
            </w:r>
            <w:r>
              <w:rPr>
                <w:rFonts w:hint="eastAsia"/>
                <w:b/>
                <w:spacing w:val="-2"/>
                <w:sz w:val="21"/>
                <w:szCs w:val="21"/>
              </w:rPr>
              <w:t>井区块断裂</w:t>
            </w:r>
            <w:r>
              <w:rPr>
                <w:b/>
                <w:spacing w:val="-2"/>
                <w:sz w:val="21"/>
                <w:szCs w:val="21"/>
              </w:rPr>
              <w:t>要素表</w:t>
            </w:r>
          </w:p>
          <w:tbl>
            <w:tblPr>
              <w:tblStyle w:val="14"/>
              <w:tblW w:w="8418" w:type="dxa"/>
              <w:tblInd w:w="0" w:type="dxa"/>
              <w:tblLayout w:type="fixed"/>
              <w:tblCellMar>
                <w:top w:w="0" w:type="dxa"/>
                <w:left w:w="108" w:type="dxa"/>
                <w:bottom w:w="0" w:type="dxa"/>
                <w:right w:w="108" w:type="dxa"/>
              </w:tblCellMar>
            </w:tblPr>
            <w:tblGrid>
              <w:gridCol w:w="1668"/>
              <w:gridCol w:w="1022"/>
              <w:gridCol w:w="879"/>
              <w:gridCol w:w="828"/>
              <w:gridCol w:w="1101"/>
              <w:gridCol w:w="881"/>
              <w:gridCol w:w="721"/>
              <w:gridCol w:w="1318"/>
            </w:tblGrid>
            <w:tr>
              <w:tblPrEx>
                <w:tblCellMar>
                  <w:top w:w="0" w:type="dxa"/>
                  <w:left w:w="108" w:type="dxa"/>
                  <w:bottom w:w="0" w:type="dxa"/>
                  <w:right w:w="108" w:type="dxa"/>
                </w:tblCellMar>
              </w:tblPrEx>
              <w:trPr>
                <w:trHeight w:val="90" w:hRule="atLeast"/>
              </w:trPr>
              <w:tc>
                <w:tcPr>
                  <w:tcW w:w="1668"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断层名称</w:t>
                  </w:r>
                </w:p>
              </w:tc>
              <w:tc>
                <w:tcPr>
                  <w:tcW w:w="1022"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断层性质</w:t>
                  </w:r>
                </w:p>
              </w:tc>
              <w:tc>
                <w:tcPr>
                  <w:tcW w:w="879"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走向</w:t>
                  </w:r>
                </w:p>
              </w:tc>
              <w:tc>
                <w:tcPr>
                  <w:tcW w:w="828" w:type="dxa"/>
                  <w:tcBorders>
                    <w:top w:val="single" w:color="000000" w:sz="4" w:space="0"/>
                    <w:left w:val="single" w:color="000000" w:sz="4" w:space="0"/>
                    <w:bottom w:val="single" w:color="000000" w:sz="4" w:space="0"/>
                    <w:right w:val="single" w:color="000000" w:sz="4" w:space="0"/>
                  </w:tcBorders>
                  <w:vAlign w:val="center"/>
                </w:tcPr>
                <w:p>
                  <w:pPr>
                    <w:pStyle w:val="20"/>
                    <w:rPr>
                      <w:b/>
                      <w:bCs/>
                    </w:rPr>
                  </w:pPr>
                  <w:r>
                    <w:rPr>
                      <w:rFonts w:hint="eastAsia"/>
                      <w:b/>
                      <w:bCs/>
                    </w:rPr>
                    <w:t>倾向</w:t>
                  </w:r>
                </w:p>
              </w:tc>
              <w:tc>
                <w:tcPr>
                  <w:tcW w:w="1101" w:type="dxa"/>
                  <w:tcBorders>
                    <w:top w:val="single" w:color="000000" w:sz="4" w:space="0"/>
                    <w:left w:val="single" w:color="000000" w:sz="4" w:space="0"/>
                    <w:right w:val="single" w:color="000000" w:sz="4" w:space="0"/>
                  </w:tcBorders>
                  <w:vAlign w:val="center"/>
                </w:tcPr>
                <w:p>
                  <w:pPr>
                    <w:pStyle w:val="20"/>
                    <w:rPr>
                      <w:b/>
                      <w:bCs/>
                    </w:rPr>
                  </w:pPr>
                  <w:r>
                    <w:rPr>
                      <w:rFonts w:hint="eastAsia"/>
                      <w:b/>
                      <w:bCs/>
                    </w:rPr>
                    <w:t>倾角（°）</w:t>
                  </w:r>
                </w:p>
              </w:tc>
              <w:tc>
                <w:tcPr>
                  <w:tcW w:w="881" w:type="dxa"/>
                  <w:tcBorders>
                    <w:top w:val="single" w:color="000000" w:sz="4" w:space="0"/>
                    <w:left w:val="single" w:color="000000" w:sz="4" w:space="0"/>
                    <w:right w:val="single" w:color="000000" w:sz="4" w:space="0"/>
                  </w:tcBorders>
                  <w:vAlign w:val="center"/>
                </w:tcPr>
                <w:p>
                  <w:pPr>
                    <w:pStyle w:val="20"/>
                    <w:rPr>
                      <w:b/>
                      <w:bCs/>
                    </w:rPr>
                  </w:pPr>
                  <w:r>
                    <w:rPr>
                      <w:rFonts w:hint="eastAsia"/>
                      <w:b/>
                      <w:bCs/>
                    </w:rPr>
                    <w:t>断距(m)</w:t>
                  </w:r>
                </w:p>
              </w:tc>
              <w:tc>
                <w:tcPr>
                  <w:tcW w:w="721" w:type="dxa"/>
                  <w:tcBorders>
                    <w:top w:val="single" w:color="000000" w:sz="4" w:space="0"/>
                    <w:left w:val="single" w:color="000000" w:sz="4" w:space="0"/>
                    <w:right w:val="single" w:color="000000" w:sz="4" w:space="0"/>
                  </w:tcBorders>
                  <w:vAlign w:val="center"/>
                </w:tcPr>
                <w:p>
                  <w:pPr>
                    <w:pStyle w:val="20"/>
                    <w:rPr>
                      <w:b/>
                      <w:bCs/>
                    </w:rPr>
                  </w:pPr>
                  <w:r>
                    <w:rPr>
                      <w:rFonts w:hint="eastAsia"/>
                      <w:b/>
                      <w:bCs/>
                    </w:rPr>
                    <w:t>断开层位</w:t>
                  </w:r>
                </w:p>
              </w:tc>
              <w:tc>
                <w:tcPr>
                  <w:tcW w:w="1318" w:type="dxa"/>
                  <w:tcBorders>
                    <w:top w:val="single" w:color="000000" w:sz="4" w:space="0"/>
                    <w:left w:val="single" w:color="000000" w:sz="4" w:space="0"/>
                    <w:right w:val="single" w:color="000000" w:sz="4" w:space="0"/>
                  </w:tcBorders>
                  <w:vAlign w:val="center"/>
                </w:tcPr>
                <w:p>
                  <w:pPr>
                    <w:pStyle w:val="20"/>
                    <w:rPr>
                      <w:b/>
                      <w:bCs/>
                    </w:rPr>
                  </w:pPr>
                  <w:r>
                    <w:rPr>
                      <w:rFonts w:hint="eastAsia"/>
                      <w:b/>
                      <w:bCs/>
                    </w:rPr>
                    <w:t>工区延伸长度(km)</w:t>
                  </w:r>
                </w:p>
              </w:tc>
            </w:tr>
            <w:tr>
              <w:tblPrEx>
                <w:tblCellMar>
                  <w:top w:w="0" w:type="dxa"/>
                  <w:left w:w="108" w:type="dxa"/>
                  <w:bottom w:w="0" w:type="dxa"/>
                  <w:right w:w="108" w:type="dxa"/>
                </w:tblCellMar>
              </w:tblPrEx>
              <w:trPr>
                <w:trHeight w:val="238" w:hRule="atLeast"/>
              </w:trPr>
              <w:tc>
                <w:tcPr>
                  <w:tcW w:w="166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夏59井北断裂</w:t>
                  </w:r>
                </w:p>
              </w:tc>
              <w:tc>
                <w:tcPr>
                  <w:tcW w:w="1022"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逆断层</w:t>
                  </w:r>
                </w:p>
              </w:tc>
              <w:tc>
                <w:tcPr>
                  <w:tcW w:w="879"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EW</w:t>
                  </w:r>
                </w:p>
              </w:tc>
              <w:tc>
                <w:tcPr>
                  <w:tcW w:w="82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N</w:t>
                  </w:r>
                </w:p>
              </w:tc>
              <w:tc>
                <w:tcPr>
                  <w:tcW w:w="110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40</w:t>
                  </w:r>
                </w:p>
              </w:tc>
              <w:tc>
                <w:tcPr>
                  <w:tcW w:w="88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90</w:t>
                  </w:r>
                </w:p>
              </w:tc>
              <w:tc>
                <w:tcPr>
                  <w:tcW w:w="72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P-J</w:t>
                  </w:r>
                  <w:r>
                    <w:rPr>
                      <w:rFonts w:hint="eastAsia"/>
                      <w:vertAlign w:val="subscript"/>
                    </w:rPr>
                    <w:t>2</w:t>
                  </w:r>
                  <w:r>
                    <w:rPr>
                      <w:rFonts w:hint="eastAsia"/>
                    </w:rPr>
                    <w:t>t</w:t>
                  </w:r>
                </w:p>
              </w:tc>
              <w:tc>
                <w:tcPr>
                  <w:tcW w:w="131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17</w:t>
                  </w:r>
                </w:p>
              </w:tc>
            </w:tr>
            <w:tr>
              <w:tblPrEx>
                <w:tblCellMar>
                  <w:top w:w="0" w:type="dxa"/>
                  <w:left w:w="108" w:type="dxa"/>
                  <w:bottom w:w="0" w:type="dxa"/>
                  <w:right w:w="108" w:type="dxa"/>
                </w:tblCellMar>
              </w:tblPrEx>
              <w:trPr>
                <w:trHeight w:val="238" w:hRule="atLeast"/>
              </w:trPr>
              <w:tc>
                <w:tcPr>
                  <w:tcW w:w="166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夏10井断裂</w:t>
                  </w:r>
                </w:p>
              </w:tc>
              <w:tc>
                <w:tcPr>
                  <w:tcW w:w="1022"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逆断层</w:t>
                  </w:r>
                </w:p>
              </w:tc>
              <w:tc>
                <w:tcPr>
                  <w:tcW w:w="879"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EW</w:t>
                  </w:r>
                </w:p>
              </w:tc>
              <w:tc>
                <w:tcPr>
                  <w:tcW w:w="82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N</w:t>
                  </w:r>
                </w:p>
              </w:tc>
              <w:tc>
                <w:tcPr>
                  <w:tcW w:w="110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60-70</w:t>
                  </w:r>
                </w:p>
              </w:tc>
              <w:tc>
                <w:tcPr>
                  <w:tcW w:w="88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10~200</w:t>
                  </w:r>
                </w:p>
              </w:tc>
              <w:tc>
                <w:tcPr>
                  <w:tcW w:w="72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P-J</w:t>
                  </w:r>
                  <w:r>
                    <w:rPr>
                      <w:rFonts w:hint="eastAsia"/>
                      <w:vertAlign w:val="subscript"/>
                    </w:rPr>
                    <w:t>1</w:t>
                  </w:r>
                  <w:r>
                    <w:rPr>
                      <w:rFonts w:hint="eastAsia"/>
                    </w:rPr>
                    <w:t>s</w:t>
                  </w:r>
                </w:p>
              </w:tc>
              <w:tc>
                <w:tcPr>
                  <w:tcW w:w="131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7.7</w:t>
                  </w:r>
                </w:p>
              </w:tc>
            </w:tr>
            <w:tr>
              <w:tblPrEx>
                <w:tblCellMar>
                  <w:top w:w="0" w:type="dxa"/>
                  <w:left w:w="108" w:type="dxa"/>
                  <w:bottom w:w="0" w:type="dxa"/>
                  <w:right w:w="108" w:type="dxa"/>
                </w:tblCellMar>
              </w:tblPrEx>
              <w:trPr>
                <w:trHeight w:val="238" w:hRule="atLeast"/>
              </w:trPr>
              <w:tc>
                <w:tcPr>
                  <w:tcW w:w="166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夏87井北断裂</w:t>
                  </w:r>
                </w:p>
              </w:tc>
              <w:tc>
                <w:tcPr>
                  <w:tcW w:w="1022"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逆断层</w:t>
                  </w:r>
                </w:p>
              </w:tc>
              <w:tc>
                <w:tcPr>
                  <w:tcW w:w="879"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EW</w:t>
                  </w:r>
                </w:p>
              </w:tc>
              <w:tc>
                <w:tcPr>
                  <w:tcW w:w="82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N</w:t>
                  </w:r>
                </w:p>
              </w:tc>
              <w:tc>
                <w:tcPr>
                  <w:tcW w:w="110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40</w:t>
                  </w:r>
                </w:p>
              </w:tc>
              <w:tc>
                <w:tcPr>
                  <w:tcW w:w="88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50</w:t>
                  </w:r>
                </w:p>
              </w:tc>
              <w:tc>
                <w:tcPr>
                  <w:tcW w:w="721"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P-J</w:t>
                  </w:r>
                  <w:r>
                    <w:rPr>
                      <w:rFonts w:hint="eastAsia"/>
                      <w:vertAlign w:val="subscript"/>
                    </w:rPr>
                    <w:t>1</w:t>
                  </w:r>
                  <w:r>
                    <w:rPr>
                      <w:rFonts w:hint="eastAsia"/>
                    </w:rPr>
                    <w:t>s</w:t>
                  </w:r>
                </w:p>
              </w:tc>
              <w:tc>
                <w:tcPr>
                  <w:tcW w:w="1318" w:type="dxa"/>
                  <w:tcBorders>
                    <w:top w:val="single" w:color="000000" w:sz="4" w:space="0"/>
                    <w:left w:val="single" w:color="000000" w:sz="4" w:space="0"/>
                    <w:bottom w:val="single" w:color="000000" w:sz="4" w:space="0"/>
                    <w:right w:val="single" w:color="000000" w:sz="4" w:space="0"/>
                  </w:tcBorders>
                  <w:vAlign w:val="center"/>
                </w:tcPr>
                <w:p>
                  <w:pPr>
                    <w:pStyle w:val="20"/>
                  </w:pPr>
                  <w:r>
                    <w:rPr>
                      <w:rFonts w:hint="eastAsia"/>
                    </w:rPr>
                    <w:t>7.6</w:t>
                  </w:r>
                </w:p>
              </w:tc>
            </w:tr>
          </w:tbl>
          <w:p>
            <w:pPr>
              <w:ind w:firstLine="414"/>
              <w:jc w:val="center"/>
              <w:rPr>
                <w:b/>
                <w:spacing w:val="-2"/>
                <w:sz w:val="21"/>
                <w:szCs w:val="21"/>
              </w:rPr>
            </w:pPr>
            <w:r>
              <w:rPr>
                <w:b/>
                <w:spacing w:val="-2"/>
                <w:sz w:val="21"/>
                <w:szCs w:val="21"/>
              </w:rPr>
              <w:t>表</w:t>
            </w:r>
            <w:r>
              <w:rPr>
                <w:rFonts w:hint="eastAsia"/>
                <w:b/>
                <w:spacing w:val="-2"/>
                <w:sz w:val="21"/>
                <w:szCs w:val="21"/>
              </w:rPr>
              <w:t>2-4</w:t>
            </w:r>
            <w:r>
              <w:rPr>
                <w:b/>
                <w:spacing w:val="-2"/>
                <w:sz w:val="21"/>
                <w:szCs w:val="21"/>
              </w:rPr>
              <w:t xml:space="preserve">  </w:t>
            </w:r>
            <w:r>
              <w:rPr>
                <w:rFonts w:hint="eastAsia"/>
                <w:b/>
                <w:spacing w:val="-2"/>
                <w:sz w:val="21"/>
                <w:szCs w:val="21"/>
              </w:rPr>
              <w:t>夏</w:t>
            </w:r>
            <w:r>
              <w:rPr>
                <w:b/>
                <w:spacing w:val="-2"/>
                <w:sz w:val="21"/>
                <w:szCs w:val="21"/>
              </w:rPr>
              <w:t>37</w:t>
            </w:r>
            <w:r>
              <w:rPr>
                <w:rFonts w:hint="eastAsia"/>
                <w:b/>
                <w:spacing w:val="-2"/>
                <w:sz w:val="21"/>
                <w:szCs w:val="21"/>
              </w:rPr>
              <w:t>井区块</w:t>
            </w:r>
            <w:r>
              <w:rPr>
                <w:b/>
                <w:spacing w:val="-2"/>
                <w:sz w:val="21"/>
                <w:szCs w:val="21"/>
              </w:rPr>
              <w:t>圈闭要素表</w:t>
            </w:r>
          </w:p>
          <w:tbl>
            <w:tblPr>
              <w:tblStyle w:val="14"/>
              <w:tblW w:w="84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3"/>
              <w:gridCol w:w="1214"/>
              <w:gridCol w:w="878"/>
              <w:gridCol w:w="595"/>
              <w:gridCol w:w="918"/>
              <w:gridCol w:w="1138"/>
              <w:gridCol w:w="1112"/>
              <w:gridCol w:w="944"/>
              <w:gridCol w:w="9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663" w:type="dxa"/>
                  <w:vMerge w:val="restart"/>
                  <w:shd w:val="clear" w:color="000000" w:fill="FFFFFF"/>
                  <w:vAlign w:val="center"/>
                </w:tcPr>
                <w:p>
                  <w:pPr>
                    <w:pStyle w:val="20"/>
                    <w:rPr>
                      <w:b/>
                      <w:bCs/>
                    </w:rPr>
                  </w:pPr>
                  <w:r>
                    <w:rPr>
                      <w:rFonts w:hint="eastAsia"/>
                      <w:b/>
                      <w:bCs/>
                    </w:rPr>
                    <w:t>序号</w:t>
                  </w:r>
                </w:p>
              </w:tc>
              <w:tc>
                <w:tcPr>
                  <w:tcW w:w="1214" w:type="dxa"/>
                  <w:vMerge w:val="restart"/>
                  <w:shd w:val="clear" w:color="000000" w:fill="FFFFFF"/>
                  <w:vAlign w:val="center"/>
                </w:tcPr>
                <w:p>
                  <w:pPr>
                    <w:pStyle w:val="20"/>
                    <w:rPr>
                      <w:b/>
                      <w:bCs/>
                    </w:rPr>
                  </w:pPr>
                  <w:r>
                    <w:rPr>
                      <w:rFonts w:hint="eastAsia"/>
                      <w:b/>
                      <w:bCs/>
                    </w:rPr>
                    <w:t>圈闭名称</w:t>
                  </w:r>
                </w:p>
              </w:tc>
              <w:tc>
                <w:tcPr>
                  <w:tcW w:w="878" w:type="dxa"/>
                  <w:vMerge w:val="restart"/>
                  <w:shd w:val="clear" w:color="000000" w:fill="FFFFFF"/>
                  <w:vAlign w:val="center"/>
                </w:tcPr>
                <w:p>
                  <w:pPr>
                    <w:pStyle w:val="20"/>
                    <w:rPr>
                      <w:b/>
                      <w:bCs/>
                    </w:rPr>
                  </w:pPr>
                  <w:r>
                    <w:rPr>
                      <w:rFonts w:hint="eastAsia"/>
                      <w:b/>
                      <w:bCs/>
                    </w:rPr>
                    <w:t>圈闭类型</w:t>
                  </w:r>
                </w:p>
              </w:tc>
              <w:tc>
                <w:tcPr>
                  <w:tcW w:w="595" w:type="dxa"/>
                  <w:vMerge w:val="restart"/>
                  <w:shd w:val="clear" w:color="000000" w:fill="FFFFFF"/>
                  <w:vAlign w:val="center"/>
                </w:tcPr>
                <w:p>
                  <w:pPr>
                    <w:pStyle w:val="20"/>
                    <w:rPr>
                      <w:b/>
                      <w:bCs/>
                    </w:rPr>
                  </w:pPr>
                  <w:r>
                    <w:rPr>
                      <w:rFonts w:hint="eastAsia"/>
                      <w:b/>
                      <w:bCs/>
                    </w:rPr>
                    <w:t>层位</w:t>
                  </w:r>
                </w:p>
              </w:tc>
              <w:tc>
                <w:tcPr>
                  <w:tcW w:w="4112" w:type="dxa"/>
                  <w:gridSpan w:val="4"/>
                  <w:shd w:val="clear" w:color="000000" w:fill="FFFFFF"/>
                  <w:vAlign w:val="center"/>
                </w:tcPr>
                <w:p>
                  <w:pPr>
                    <w:pStyle w:val="20"/>
                    <w:rPr>
                      <w:b/>
                      <w:bCs/>
                    </w:rPr>
                  </w:pPr>
                  <w:r>
                    <w:rPr>
                      <w:rFonts w:hint="eastAsia"/>
                      <w:b/>
                      <w:bCs/>
                    </w:rPr>
                    <w:t>圈闭要素</w:t>
                  </w:r>
                </w:p>
              </w:tc>
              <w:tc>
                <w:tcPr>
                  <w:tcW w:w="944" w:type="dxa"/>
                  <w:vMerge w:val="restart"/>
                  <w:shd w:val="clear" w:color="000000" w:fill="FFFFFF"/>
                  <w:vAlign w:val="center"/>
                </w:tcPr>
                <w:p>
                  <w:pPr>
                    <w:pStyle w:val="20"/>
                    <w:rPr>
                      <w:b/>
                      <w:bCs/>
                    </w:rPr>
                  </w:pPr>
                  <w:r>
                    <w:rPr>
                      <w:rFonts w:hint="eastAsia"/>
                      <w:b/>
                      <w:bCs/>
                    </w:rPr>
                    <w:t>储层岩性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663" w:type="dxa"/>
                  <w:vMerge w:val="continue"/>
                  <w:shd w:val="clear" w:color="auto" w:fill="auto"/>
                  <w:vAlign w:val="center"/>
                </w:tcPr>
                <w:p>
                  <w:pPr>
                    <w:pStyle w:val="20"/>
                  </w:pPr>
                </w:p>
              </w:tc>
              <w:tc>
                <w:tcPr>
                  <w:tcW w:w="1214" w:type="dxa"/>
                  <w:vMerge w:val="continue"/>
                  <w:shd w:val="clear" w:color="auto" w:fill="auto"/>
                  <w:vAlign w:val="center"/>
                </w:tcPr>
                <w:p>
                  <w:pPr>
                    <w:pStyle w:val="20"/>
                  </w:pPr>
                </w:p>
              </w:tc>
              <w:tc>
                <w:tcPr>
                  <w:tcW w:w="878" w:type="dxa"/>
                  <w:vMerge w:val="continue"/>
                  <w:shd w:val="clear" w:color="auto" w:fill="auto"/>
                  <w:vAlign w:val="center"/>
                </w:tcPr>
                <w:p>
                  <w:pPr>
                    <w:pStyle w:val="20"/>
                  </w:pPr>
                </w:p>
              </w:tc>
              <w:tc>
                <w:tcPr>
                  <w:tcW w:w="595" w:type="dxa"/>
                  <w:vMerge w:val="continue"/>
                  <w:shd w:val="clear" w:color="auto" w:fill="auto"/>
                  <w:vAlign w:val="center"/>
                </w:tcPr>
                <w:p>
                  <w:pPr>
                    <w:pStyle w:val="20"/>
                  </w:pPr>
                </w:p>
              </w:tc>
              <w:tc>
                <w:tcPr>
                  <w:tcW w:w="918" w:type="dxa"/>
                  <w:shd w:val="clear" w:color="000000" w:fill="FFFFFF"/>
                  <w:vAlign w:val="center"/>
                </w:tcPr>
                <w:p>
                  <w:pPr>
                    <w:pStyle w:val="20"/>
                    <w:rPr>
                      <w:b/>
                      <w:bCs/>
                    </w:rPr>
                  </w:pPr>
                  <w:r>
                    <w:rPr>
                      <w:rFonts w:hint="eastAsia"/>
                      <w:b/>
                      <w:bCs/>
                    </w:rPr>
                    <w:t>面积</w:t>
                  </w:r>
                </w:p>
              </w:tc>
              <w:tc>
                <w:tcPr>
                  <w:tcW w:w="1138" w:type="dxa"/>
                  <w:shd w:val="clear" w:color="000000" w:fill="FFFFFF"/>
                  <w:vAlign w:val="center"/>
                </w:tcPr>
                <w:p>
                  <w:pPr>
                    <w:pStyle w:val="20"/>
                    <w:rPr>
                      <w:b/>
                      <w:bCs/>
                    </w:rPr>
                  </w:pPr>
                  <w:r>
                    <w:rPr>
                      <w:rFonts w:hint="eastAsia"/>
                      <w:b/>
                      <w:bCs/>
                    </w:rPr>
                    <w:t>高点海拔</w:t>
                  </w:r>
                </w:p>
              </w:tc>
              <w:tc>
                <w:tcPr>
                  <w:tcW w:w="1112" w:type="dxa"/>
                  <w:shd w:val="clear" w:color="000000" w:fill="FFFFFF"/>
                  <w:vAlign w:val="center"/>
                </w:tcPr>
                <w:p>
                  <w:pPr>
                    <w:pStyle w:val="20"/>
                    <w:rPr>
                      <w:b/>
                      <w:bCs/>
                    </w:rPr>
                  </w:pPr>
                  <w:r>
                    <w:rPr>
                      <w:rFonts w:hint="eastAsia"/>
                      <w:b/>
                      <w:bCs/>
                    </w:rPr>
                    <w:t>闭合幅度</w:t>
                  </w:r>
                </w:p>
              </w:tc>
              <w:tc>
                <w:tcPr>
                  <w:tcW w:w="944" w:type="dxa"/>
                  <w:vMerge w:val="restart"/>
                  <w:shd w:val="clear" w:color="000000" w:fill="FFFFFF"/>
                  <w:vAlign w:val="center"/>
                </w:tcPr>
                <w:p>
                  <w:pPr>
                    <w:pStyle w:val="20"/>
                    <w:rPr>
                      <w:b/>
                      <w:bCs/>
                    </w:rPr>
                  </w:pPr>
                  <w:r>
                    <w:rPr>
                      <w:rFonts w:hint="eastAsia"/>
                      <w:b/>
                      <w:bCs/>
                    </w:rPr>
                    <w:t>可靠程度</w:t>
                  </w:r>
                </w:p>
              </w:tc>
              <w:tc>
                <w:tcPr>
                  <w:tcW w:w="944" w:type="dxa"/>
                  <w:vMerge w:val="continue"/>
                  <w:vAlign w:val="center"/>
                </w:tcPr>
                <w:p>
                  <w:pPr>
                    <w:pStyle w:val="2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663" w:type="dxa"/>
                  <w:vMerge w:val="continue"/>
                  <w:shd w:val="clear" w:color="auto" w:fill="auto"/>
                  <w:vAlign w:val="center"/>
                </w:tcPr>
                <w:p>
                  <w:pPr>
                    <w:pStyle w:val="20"/>
                  </w:pPr>
                </w:p>
              </w:tc>
              <w:tc>
                <w:tcPr>
                  <w:tcW w:w="1214" w:type="dxa"/>
                  <w:vMerge w:val="continue"/>
                  <w:shd w:val="clear" w:color="auto" w:fill="auto"/>
                  <w:vAlign w:val="center"/>
                </w:tcPr>
                <w:p>
                  <w:pPr>
                    <w:pStyle w:val="20"/>
                  </w:pPr>
                </w:p>
              </w:tc>
              <w:tc>
                <w:tcPr>
                  <w:tcW w:w="878" w:type="dxa"/>
                  <w:vMerge w:val="continue"/>
                  <w:shd w:val="clear" w:color="auto" w:fill="auto"/>
                  <w:vAlign w:val="center"/>
                </w:tcPr>
                <w:p>
                  <w:pPr>
                    <w:pStyle w:val="20"/>
                  </w:pPr>
                </w:p>
              </w:tc>
              <w:tc>
                <w:tcPr>
                  <w:tcW w:w="595" w:type="dxa"/>
                  <w:vMerge w:val="continue"/>
                  <w:shd w:val="clear" w:color="auto" w:fill="auto"/>
                  <w:vAlign w:val="center"/>
                </w:tcPr>
                <w:p>
                  <w:pPr>
                    <w:pStyle w:val="20"/>
                  </w:pPr>
                </w:p>
              </w:tc>
              <w:tc>
                <w:tcPr>
                  <w:tcW w:w="918" w:type="dxa"/>
                  <w:shd w:val="clear" w:color="000000" w:fill="FFFFFF"/>
                  <w:vAlign w:val="center"/>
                </w:tcPr>
                <w:p>
                  <w:pPr>
                    <w:pStyle w:val="20"/>
                    <w:rPr>
                      <w:b/>
                      <w:bCs/>
                    </w:rPr>
                  </w:pPr>
                  <w:r>
                    <w:rPr>
                      <w:rFonts w:hint="eastAsia"/>
                      <w:b/>
                      <w:bCs/>
                    </w:rPr>
                    <w:t>（km</w:t>
                  </w:r>
                  <w:r>
                    <w:rPr>
                      <w:rFonts w:hint="eastAsia"/>
                      <w:b/>
                      <w:bCs/>
                      <w:vertAlign w:val="superscript"/>
                    </w:rPr>
                    <w:t>2</w:t>
                  </w:r>
                  <w:r>
                    <w:rPr>
                      <w:rFonts w:hint="eastAsia"/>
                      <w:b/>
                      <w:bCs/>
                    </w:rPr>
                    <w:t>）</w:t>
                  </w:r>
                </w:p>
              </w:tc>
              <w:tc>
                <w:tcPr>
                  <w:tcW w:w="1138" w:type="dxa"/>
                  <w:shd w:val="clear" w:color="000000" w:fill="FFFFFF"/>
                  <w:vAlign w:val="center"/>
                </w:tcPr>
                <w:p>
                  <w:pPr>
                    <w:pStyle w:val="20"/>
                    <w:rPr>
                      <w:b/>
                      <w:bCs/>
                    </w:rPr>
                  </w:pPr>
                  <w:r>
                    <w:rPr>
                      <w:rFonts w:hint="eastAsia"/>
                      <w:b/>
                      <w:bCs/>
                    </w:rPr>
                    <w:t>（m）</w:t>
                  </w:r>
                </w:p>
              </w:tc>
              <w:tc>
                <w:tcPr>
                  <w:tcW w:w="1112" w:type="dxa"/>
                  <w:shd w:val="clear" w:color="000000" w:fill="FFFFFF"/>
                  <w:vAlign w:val="center"/>
                </w:tcPr>
                <w:p>
                  <w:pPr>
                    <w:pStyle w:val="20"/>
                    <w:rPr>
                      <w:b/>
                      <w:bCs/>
                    </w:rPr>
                  </w:pPr>
                  <w:r>
                    <w:rPr>
                      <w:rFonts w:hint="eastAsia"/>
                      <w:b/>
                      <w:bCs/>
                    </w:rPr>
                    <w:t>（m）</w:t>
                  </w:r>
                </w:p>
              </w:tc>
              <w:tc>
                <w:tcPr>
                  <w:tcW w:w="944" w:type="dxa"/>
                  <w:vMerge w:val="continue"/>
                  <w:vAlign w:val="center"/>
                </w:tcPr>
                <w:p>
                  <w:pPr>
                    <w:pStyle w:val="20"/>
                  </w:pPr>
                </w:p>
              </w:tc>
              <w:tc>
                <w:tcPr>
                  <w:tcW w:w="944" w:type="dxa"/>
                  <w:vMerge w:val="continue"/>
                  <w:vAlign w:val="center"/>
                </w:tcPr>
                <w:p>
                  <w:pPr>
                    <w:pStyle w:val="2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663" w:type="dxa"/>
                  <w:shd w:val="clear" w:color="000000" w:fill="FFFFFF"/>
                  <w:vAlign w:val="center"/>
                </w:tcPr>
                <w:p>
                  <w:pPr>
                    <w:pStyle w:val="20"/>
                  </w:pPr>
                  <w:r>
                    <w:rPr>
                      <w:rFonts w:hint="eastAsia"/>
                    </w:rPr>
                    <w:t>1</w:t>
                  </w:r>
                </w:p>
              </w:tc>
              <w:tc>
                <w:tcPr>
                  <w:tcW w:w="1214" w:type="dxa"/>
                  <w:shd w:val="clear" w:color="000000" w:fill="FFFFFF"/>
                  <w:vAlign w:val="center"/>
                </w:tcPr>
                <w:p>
                  <w:pPr>
                    <w:pStyle w:val="20"/>
                  </w:pPr>
                  <w:r>
                    <w:rPr>
                      <w:rFonts w:hint="eastAsia"/>
                    </w:rPr>
                    <w:t>夏9井断块-岩性圈闭</w:t>
                  </w:r>
                </w:p>
              </w:tc>
              <w:tc>
                <w:tcPr>
                  <w:tcW w:w="878" w:type="dxa"/>
                  <w:shd w:val="clear" w:color="000000" w:fill="FFFFFF"/>
                  <w:vAlign w:val="center"/>
                </w:tcPr>
                <w:p>
                  <w:pPr>
                    <w:pStyle w:val="20"/>
                  </w:pPr>
                  <w:r>
                    <w:rPr>
                      <w:rFonts w:hint="eastAsia"/>
                    </w:rPr>
                    <w:t>构造-岩性</w:t>
                  </w:r>
                </w:p>
              </w:tc>
              <w:tc>
                <w:tcPr>
                  <w:tcW w:w="595" w:type="dxa"/>
                  <w:shd w:val="clear" w:color="000000" w:fill="FFFFFF"/>
                  <w:vAlign w:val="center"/>
                </w:tcPr>
                <w:p>
                  <w:pPr>
                    <w:pStyle w:val="20"/>
                  </w:pPr>
                  <w:r>
                    <w:rPr>
                      <w:rFonts w:hint="eastAsia"/>
                    </w:rPr>
                    <w:t>J</w:t>
                  </w:r>
                  <w:r>
                    <w:rPr>
                      <w:rFonts w:hint="eastAsia"/>
                      <w:vertAlign w:val="subscript"/>
                    </w:rPr>
                    <w:t>1</w:t>
                  </w:r>
                  <w:r>
                    <w:rPr>
                      <w:rFonts w:hint="eastAsia"/>
                    </w:rPr>
                    <w:t>b</w:t>
                  </w:r>
                </w:p>
              </w:tc>
              <w:tc>
                <w:tcPr>
                  <w:tcW w:w="918" w:type="dxa"/>
                  <w:shd w:val="clear" w:color="000000" w:fill="FFFFFF"/>
                  <w:vAlign w:val="center"/>
                </w:tcPr>
                <w:p>
                  <w:pPr>
                    <w:pStyle w:val="20"/>
                  </w:pPr>
                  <w:r>
                    <w:rPr>
                      <w:rFonts w:hint="eastAsia"/>
                    </w:rPr>
                    <w:t>48.8</w:t>
                  </w:r>
                </w:p>
              </w:tc>
              <w:tc>
                <w:tcPr>
                  <w:tcW w:w="1138" w:type="dxa"/>
                  <w:shd w:val="clear" w:color="000000" w:fill="FFFFFF"/>
                  <w:vAlign w:val="center"/>
                </w:tcPr>
                <w:p>
                  <w:pPr>
                    <w:pStyle w:val="20"/>
                  </w:pPr>
                  <w:r>
                    <w:rPr>
                      <w:rFonts w:hint="eastAsia"/>
                    </w:rPr>
                    <w:t>-1370</w:t>
                  </w:r>
                </w:p>
              </w:tc>
              <w:tc>
                <w:tcPr>
                  <w:tcW w:w="1112" w:type="dxa"/>
                  <w:shd w:val="clear" w:color="000000" w:fill="FFFFFF"/>
                  <w:vAlign w:val="center"/>
                </w:tcPr>
                <w:p>
                  <w:pPr>
                    <w:pStyle w:val="20"/>
                  </w:pPr>
                  <w:r>
                    <w:rPr>
                      <w:rFonts w:hint="eastAsia"/>
                    </w:rPr>
                    <w:t>390</w:t>
                  </w:r>
                </w:p>
              </w:tc>
              <w:tc>
                <w:tcPr>
                  <w:tcW w:w="944" w:type="dxa"/>
                  <w:shd w:val="clear" w:color="000000" w:fill="FFFFFF"/>
                  <w:vAlign w:val="center"/>
                </w:tcPr>
                <w:p>
                  <w:pPr>
                    <w:pStyle w:val="20"/>
                  </w:pPr>
                  <w:r>
                    <w:rPr>
                      <w:rFonts w:hint="eastAsia"/>
                    </w:rPr>
                    <w:t>较可靠</w:t>
                  </w:r>
                </w:p>
              </w:tc>
              <w:tc>
                <w:tcPr>
                  <w:tcW w:w="944" w:type="dxa"/>
                  <w:shd w:val="clear" w:color="000000" w:fill="FFFFFF"/>
                  <w:vAlign w:val="center"/>
                </w:tcPr>
                <w:p>
                  <w:pPr>
                    <w:pStyle w:val="20"/>
                  </w:pPr>
                  <w:r>
                    <w:rPr>
                      <w:rFonts w:hint="eastAsia"/>
                    </w:rPr>
                    <w:t>砂砾岩</w:t>
                  </w:r>
                </w:p>
              </w:tc>
            </w:tr>
          </w:tbl>
          <w:p>
            <w:pPr>
              <w:pStyle w:val="19"/>
            </w:pPr>
            <w:r>
              <w:t>2.3</w:t>
            </w:r>
            <w:r>
              <w:rPr>
                <w:rFonts w:hint="eastAsia"/>
              </w:rPr>
              <w:t xml:space="preserve"> </w:t>
            </w:r>
            <w:r>
              <w:t>沉积储层特征</w:t>
            </w:r>
          </w:p>
          <w:p>
            <w:pPr>
              <w:pStyle w:val="19"/>
              <w:ind w:firstLine="480" w:firstLineChars="200"/>
              <w:rPr>
                <w:b w:val="0"/>
                <w:bCs/>
              </w:rPr>
            </w:pPr>
            <w:r>
              <w:rPr>
                <w:rFonts w:hint="eastAsia"/>
                <w:b w:val="0"/>
                <w:bCs/>
              </w:rPr>
              <w:t>根据《夏子街油田夏37井区块侏罗系八道湾组油藏评价井部署意见》，夏子街油田侏罗系八道湾组主要表现为辫状河流沉积体系，物源来自北东方向。侏罗纪八道湾组底部发育含砾砂岩及砂砾岩，随着水体的加深和水动力减弱，侏罗系八道湾组向上沉积粒度逐渐变细，岩性逐渐转为中粗砂岩。</w:t>
            </w:r>
          </w:p>
          <w:p>
            <w:pPr>
              <w:pStyle w:val="19"/>
              <w:ind w:firstLine="480" w:firstLineChars="200"/>
              <w:rPr>
                <w:b w:val="0"/>
                <w:bCs/>
              </w:rPr>
            </w:pPr>
            <w:r>
              <w:rPr>
                <w:rFonts w:hint="eastAsia"/>
                <w:b w:val="0"/>
                <w:bCs/>
              </w:rPr>
              <w:t>评价区侏罗系八道湾组平均厚度65.0m，自上而下划分为J</w:t>
            </w:r>
            <w:r>
              <w:rPr>
                <w:rFonts w:hint="eastAsia"/>
                <w:b w:val="0"/>
                <w:bCs/>
                <w:vertAlign w:val="subscript"/>
              </w:rPr>
              <w:t>1</w:t>
            </w:r>
            <w:r>
              <w:rPr>
                <w:rFonts w:hint="eastAsia"/>
                <w:b w:val="0"/>
                <w:bCs/>
                <w:i/>
                <w:iCs/>
              </w:rPr>
              <w:t>b</w:t>
            </w:r>
            <w:r>
              <w:rPr>
                <w:rFonts w:hint="eastAsia"/>
                <w:b w:val="0"/>
                <w:bCs/>
                <w:i/>
                <w:iCs/>
                <w:vertAlign w:val="subscript"/>
              </w:rPr>
              <w:t>1</w:t>
            </w:r>
            <w:r>
              <w:rPr>
                <w:rFonts w:hint="eastAsia"/>
                <w:b w:val="0"/>
                <w:bCs/>
                <w:vertAlign w:val="superscript"/>
              </w:rPr>
              <w:t>1</w:t>
            </w:r>
            <w:r>
              <w:rPr>
                <w:rFonts w:hint="eastAsia"/>
                <w:b w:val="0"/>
                <w:bCs/>
              </w:rPr>
              <w:t>、J</w:t>
            </w:r>
            <w:r>
              <w:rPr>
                <w:rFonts w:hint="eastAsia"/>
                <w:b w:val="0"/>
                <w:bCs/>
                <w:vertAlign w:val="subscript"/>
              </w:rPr>
              <w:t>1</w:t>
            </w:r>
            <w:r>
              <w:rPr>
                <w:rFonts w:hint="eastAsia"/>
                <w:b w:val="0"/>
                <w:bCs/>
                <w:i/>
                <w:iCs/>
              </w:rPr>
              <w:t>b</w:t>
            </w:r>
            <w:r>
              <w:rPr>
                <w:rFonts w:hint="eastAsia"/>
                <w:b w:val="0"/>
                <w:bCs/>
                <w:i/>
                <w:iCs/>
                <w:vertAlign w:val="subscript"/>
              </w:rPr>
              <w:t>1</w:t>
            </w:r>
            <w:r>
              <w:rPr>
                <w:rFonts w:hint="eastAsia"/>
                <w:b w:val="0"/>
                <w:bCs/>
                <w:vertAlign w:val="superscript"/>
              </w:rPr>
              <w:t>4</w:t>
            </w:r>
            <w:r>
              <w:rPr>
                <w:rFonts w:hint="eastAsia"/>
                <w:b w:val="0"/>
                <w:bCs/>
              </w:rPr>
              <w:t>、J</w:t>
            </w:r>
            <w:r>
              <w:rPr>
                <w:rFonts w:hint="eastAsia"/>
                <w:b w:val="0"/>
                <w:bCs/>
                <w:vertAlign w:val="subscript"/>
              </w:rPr>
              <w:t>1</w:t>
            </w:r>
            <w:r>
              <w:rPr>
                <w:rFonts w:hint="eastAsia"/>
                <w:b w:val="0"/>
                <w:bCs/>
                <w:i/>
                <w:iCs/>
              </w:rPr>
              <w:t>b</w:t>
            </w:r>
            <w:r>
              <w:rPr>
                <w:rFonts w:hint="eastAsia"/>
                <w:b w:val="0"/>
                <w:bCs/>
                <w:i/>
                <w:iCs/>
                <w:vertAlign w:val="subscript"/>
              </w:rPr>
              <w:t>1</w:t>
            </w:r>
            <w:r>
              <w:rPr>
                <w:rFonts w:hint="eastAsia"/>
                <w:b w:val="0"/>
                <w:bCs/>
                <w:vertAlign w:val="superscript"/>
              </w:rPr>
              <w:t>5</w:t>
            </w:r>
            <w:r>
              <w:rPr>
                <w:rFonts w:hint="eastAsia"/>
                <w:b w:val="0"/>
                <w:bCs/>
              </w:rPr>
              <w:t>三个砂层组，含油砂体主要发育在J</w:t>
            </w:r>
            <w:r>
              <w:rPr>
                <w:rFonts w:hint="eastAsia"/>
                <w:b w:val="0"/>
                <w:bCs/>
                <w:vertAlign w:val="subscript"/>
              </w:rPr>
              <w:t>1</w:t>
            </w:r>
            <w:r>
              <w:rPr>
                <w:rFonts w:hint="eastAsia"/>
                <w:b w:val="0"/>
                <w:bCs/>
                <w:i/>
                <w:iCs/>
              </w:rPr>
              <w:t>b</w:t>
            </w:r>
            <w:r>
              <w:rPr>
                <w:rFonts w:hint="eastAsia"/>
                <w:b w:val="0"/>
                <w:bCs/>
                <w:i/>
                <w:iCs/>
                <w:vertAlign w:val="subscript"/>
              </w:rPr>
              <w:t>1</w:t>
            </w:r>
            <w:r>
              <w:rPr>
                <w:rFonts w:hint="eastAsia"/>
                <w:b w:val="0"/>
                <w:bCs/>
                <w:vertAlign w:val="superscript"/>
              </w:rPr>
              <w:t>5</w:t>
            </w:r>
            <w:r>
              <w:rPr>
                <w:rFonts w:hint="eastAsia"/>
                <w:b w:val="0"/>
                <w:bCs/>
              </w:rPr>
              <w:t>砂层组。该区储层发育，砂体厚度较厚，平均厚度9.0m，横向连续性较好</w:t>
            </w:r>
          </w:p>
          <w:p>
            <w:pPr>
              <w:pStyle w:val="19"/>
            </w:pPr>
            <w:r>
              <w:t>2.4</w:t>
            </w:r>
            <w:r>
              <w:rPr>
                <w:rFonts w:hint="eastAsia"/>
              </w:rPr>
              <w:t xml:space="preserve"> </w:t>
            </w:r>
            <w:r>
              <w:t>油气藏特征</w:t>
            </w:r>
          </w:p>
          <w:p>
            <w:pPr>
              <w:ind w:firstLine="480"/>
            </w:pPr>
            <w:r>
              <w:rPr>
                <w:rFonts w:hint="eastAsia"/>
                <w:bCs/>
              </w:rPr>
              <w:t>根据《夏子街油田夏37井区块侏罗系八道湾组油藏评价井部署意见》，</w:t>
            </w:r>
            <w:r>
              <w:rPr>
                <w:bCs/>
                <w:kern w:val="10"/>
              </w:rPr>
              <w:t>夏37</w:t>
            </w:r>
            <w:r>
              <w:rPr>
                <w:rFonts w:hint="eastAsia"/>
                <w:bCs/>
                <w:kern w:val="10"/>
              </w:rPr>
              <w:t>井</w:t>
            </w:r>
            <w:r>
              <w:rPr>
                <w:bCs/>
                <w:kern w:val="10"/>
              </w:rPr>
              <w:t>区块侏罗系八道湾组储层横向上</w:t>
            </w:r>
            <w:r>
              <w:rPr>
                <w:rFonts w:hint="eastAsia"/>
                <w:bCs/>
                <w:kern w:val="10"/>
              </w:rPr>
              <w:t>砂体连续发育且</w:t>
            </w:r>
            <w:r>
              <w:rPr>
                <w:bCs/>
                <w:kern w:val="10"/>
              </w:rPr>
              <w:t>展布</w:t>
            </w:r>
            <w:r>
              <w:rPr>
                <w:rFonts w:hint="eastAsia"/>
                <w:bCs/>
                <w:kern w:val="10"/>
              </w:rPr>
              <w:t>空间</w:t>
            </w:r>
            <w:r>
              <w:rPr>
                <w:bCs/>
                <w:kern w:val="10"/>
              </w:rPr>
              <w:t>范围</w:t>
            </w:r>
            <w:r>
              <w:rPr>
                <w:rFonts w:hint="eastAsia"/>
                <w:bCs/>
                <w:kern w:val="10"/>
              </w:rPr>
              <w:t>广</w:t>
            </w:r>
            <w:r>
              <w:rPr>
                <w:bCs/>
                <w:kern w:val="10"/>
              </w:rPr>
              <w:t>，综合分析认为该区油藏类型</w:t>
            </w:r>
            <w:r>
              <w:rPr>
                <w:rFonts w:hint="eastAsia"/>
                <w:bCs/>
                <w:kern w:val="10"/>
              </w:rPr>
              <w:t>为受断裂和物性共同控制的</w:t>
            </w:r>
            <w:r>
              <w:rPr>
                <w:rFonts w:hint="eastAsia"/>
                <w:bCs/>
                <w:kern w:val="10"/>
                <w:szCs w:val="32"/>
              </w:rPr>
              <w:t>构造-岩性油藏。</w:t>
            </w:r>
          </w:p>
          <w:p>
            <w:pPr>
              <w:pStyle w:val="19"/>
            </w:pPr>
            <w:r>
              <w:t>2.5</w:t>
            </w:r>
            <w:r>
              <w:rPr>
                <w:rFonts w:hint="eastAsia"/>
              </w:rPr>
              <w:t xml:space="preserve"> </w:t>
            </w:r>
            <w:r>
              <w:t>流体性质</w:t>
            </w:r>
          </w:p>
          <w:p>
            <w:pPr>
              <w:ind w:firstLine="480"/>
              <w:rPr>
                <w:snapToGrid w:val="0"/>
                <w:spacing w:val="-4"/>
                <w:kern w:val="0"/>
              </w:rPr>
            </w:pPr>
            <w:r>
              <w:rPr>
                <w:rFonts w:hint="eastAsia"/>
                <w:bCs/>
              </w:rPr>
              <w:t>根据《夏子街油田夏37井区块侏罗系八道湾组油藏评价井部署意见》，根据</w:t>
            </w:r>
            <w:r>
              <w:rPr>
                <w:rFonts w:hint="eastAsia"/>
                <w:szCs w:val="32"/>
              </w:rPr>
              <w:t>夏</w:t>
            </w:r>
            <w:r>
              <w:rPr>
                <w:szCs w:val="32"/>
              </w:rPr>
              <w:t>37</w:t>
            </w:r>
            <w:r>
              <w:rPr>
                <w:rFonts w:hint="eastAsia"/>
                <w:szCs w:val="32"/>
              </w:rPr>
              <w:t>井区</w:t>
            </w:r>
            <w:r>
              <w:rPr>
                <w:szCs w:val="32"/>
              </w:rPr>
              <w:t>取得的7</w:t>
            </w:r>
            <w:r>
              <w:rPr>
                <w:rFonts w:hint="eastAsia"/>
                <w:szCs w:val="32"/>
              </w:rPr>
              <w:t>个</w:t>
            </w:r>
            <w:r>
              <w:rPr>
                <w:szCs w:val="32"/>
              </w:rPr>
              <w:t>原油样品分析资料，算术平均求得地面原油密度为0.</w:t>
            </w:r>
            <w:r>
              <w:rPr>
                <w:rFonts w:hint="eastAsia"/>
                <w:szCs w:val="32"/>
              </w:rPr>
              <w:t>8</w:t>
            </w:r>
            <w:r>
              <w:rPr>
                <w:szCs w:val="32"/>
              </w:rPr>
              <w:t>735g/cm</w:t>
            </w:r>
            <w:r>
              <w:rPr>
                <w:szCs w:val="32"/>
                <w:vertAlign w:val="superscript"/>
              </w:rPr>
              <w:t>3</w:t>
            </w:r>
            <w:r>
              <w:rPr>
                <w:szCs w:val="32"/>
              </w:rPr>
              <w:t>，50</w:t>
            </w:r>
            <w:r>
              <w:rPr>
                <w:rFonts w:hint="eastAsia" w:ascii="宋体" w:hAnsi="宋体"/>
                <w:szCs w:val="32"/>
              </w:rPr>
              <w:t>℃</w:t>
            </w:r>
            <w:r>
              <w:rPr>
                <w:szCs w:val="32"/>
              </w:rPr>
              <w:t>地面原油粘度为37.5mPa.s，含蜡量5.23%，凝固点-</w:t>
            </w:r>
            <w:r>
              <w:rPr>
                <w:rFonts w:hint="eastAsia"/>
                <w:szCs w:val="32"/>
              </w:rPr>
              <w:t>1</w:t>
            </w:r>
            <w:r>
              <w:rPr>
                <w:szCs w:val="32"/>
              </w:rPr>
              <w:t>0.1</w:t>
            </w:r>
            <w:r>
              <w:rPr>
                <w:rFonts w:hint="eastAsia" w:ascii="宋体" w:hAnsi="宋体"/>
                <w:szCs w:val="32"/>
              </w:rPr>
              <w:t>℃</w:t>
            </w:r>
            <w:r>
              <w:rPr>
                <w:szCs w:val="32"/>
              </w:rPr>
              <w:t>，初溜点为</w:t>
            </w:r>
            <w:r>
              <w:rPr>
                <w:rFonts w:hint="eastAsia"/>
                <w:szCs w:val="32"/>
              </w:rPr>
              <w:t>4.26</w:t>
            </w:r>
            <w:r>
              <w:rPr>
                <w:rFonts w:hint="eastAsia" w:ascii="宋体" w:hAnsi="宋体"/>
                <w:szCs w:val="32"/>
              </w:rPr>
              <w:t>℃</w:t>
            </w:r>
            <w:r>
              <w:rPr>
                <w:szCs w:val="32"/>
              </w:rPr>
              <w:t>。</w:t>
            </w:r>
            <w:r>
              <w:t>地层水水型主要为CaCl</w:t>
            </w:r>
            <w:r>
              <w:rPr>
                <w:vertAlign w:val="subscript"/>
              </w:rPr>
              <w:t>2</w:t>
            </w:r>
            <w:r>
              <w:t>型，总矿化度为12426.5mg/L，氯离子含量为7217.4mg/L</w:t>
            </w:r>
            <w:r>
              <w:rPr>
                <w:rFonts w:hint="eastAsia"/>
              </w:rPr>
              <w:t>，该</w:t>
            </w:r>
            <w:r>
              <w:rPr>
                <w:rFonts w:hint="eastAsia"/>
                <w:snapToGrid w:val="0"/>
                <w:kern w:val="0"/>
              </w:rPr>
              <w:t>油藏属于稀油油藏。</w:t>
            </w:r>
          </w:p>
          <w:p>
            <w:pPr>
              <w:pStyle w:val="18"/>
            </w:pPr>
            <w:r>
              <w:t>3 钻前工程</w:t>
            </w:r>
          </w:p>
          <w:p>
            <w:pPr>
              <w:ind w:firstLine="480"/>
            </w:pPr>
            <w:r>
              <w:t>钻前工程包括井场平整设备基础、放喷池、进场道路等的建设，生活营地搭建、临时道路建设等。</w:t>
            </w:r>
          </w:p>
          <w:p>
            <w:pPr>
              <w:pStyle w:val="18"/>
            </w:pPr>
            <w:r>
              <w:t>4 钻井基本参数</w:t>
            </w:r>
          </w:p>
          <w:p>
            <w:pPr>
              <w:ind w:firstLine="480"/>
            </w:pPr>
            <w:r>
              <w:t>本次拟钻</w:t>
            </w:r>
            <w:r>
              <w:rPr>
                <w:rFonts w:hint="eastAsia"/>
              </w:rPr>
              <w:t>3</w:t>
            </w:r>
            <w:r>
              <w:t>口评价井</w:t>
            </w:r>
            <w:r>
              <w:rPr>
                <w:rFonts w:hint="eastAsia"/>
              </w:rPr>
              <w:t>，井深结构、井型、设计井深和钻井周期见表2-5</w:t>
            </w:r>
            <w:r>
              <w:t>。</w:t>
            </w:r>
          </w:p>
          <w:p>
            <w:pPr>
              <w:pStyle w:val="2"/>
              <w:spacing w:line="360" w:lineRule="auto"/>
            </w:pPr>
            <w:r>
              <w:t>表2-</w:t>
            </w:r>
            <w:r>
              <w:rPr>
                <w:rFonts w:hint="eastAsia"/>
              </w:rPr>
              <w:t>5</w:t>
            </w:r>
            <w:r>
              <w:t xml:space="preserve">  </w:t>
            </w:r>
            <w:r>
              <w:rPr>
                <w:rFonts w:hint="eastAsia"/>
              </w:rPr>
              <w:t>本项目井位条件一览表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1677"/>
              <w:gridCol w:w="1678"/>
              <w:gridCol w:w="1678"/>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677" w:type="dxa"/>
                </w:tcPr>
                <w:p>
                  <w:pPr>
                    <w:spacing w:line="240" w:lineRule="auto"/>
                    <w:ind w:firstLine="0" w:firstLineChars="0"/>
                    <w:jc w:val="center"/>
                    <w:rPr>
                      <w:b/>
                      <w:bCs/>
                      <w:sz w:val="21"/>
                      <w:szCs w:val="21"/>
                    </w:rPr>
                  </w:pPr>
                  <w:r>
                    <w:rPr>
                      <w:rFonts w:hint="eastAsia"/>
                      <w:b/>
                      <w:bCs/>
                      <w:sz w:val="21"/>
                      <w:szCs w:val="21"/>
                    </w:rPr>
                    <w:t>井号</w:t>
                  </w:r>
                </w:p>
              </w:tc>
              <w:tc>
                <w:tcPr>
                  <w:tcW w:w="1677" w:type="dxa"/>
                </w:tcPr>
                <w:p>
                  <w:pPr>
                    <w:spacing w:line="240" w:lineRule="auto"/>
                    <w:ind w:firstLine="0" w:firstLineChars="0"/>
                    <w:jc w:val="center"/>
                    <w:rPr>
                      <w:b/>
                      <w:bCs/>
                      <w:sz w:val="21"/>
                      <w:szCs w:val="21"/>
                    </w:rPr>
                  </w:pPr>
                  <w:r>
                    <w:rPr>
                      <w:rFonts w:hint="eastAsia"/>
                      <w:b/>
                      <w:bCs/>
                      <w:sz w:val="21"/>
                      <w:szCs w:val="21"/>
                    </w:rPr>
                    <w:t>井型</w:t>
                  </w:r>
                </w:p>
              </w:tc>
              <w:tc>
                <w:tcPr>
                  <w:tcW w:w="1678" w:type="dxa"/>
                </w:tcPr>
                <w:p>
                  <w:pPr>
                    <w:spacing w:line="240" w:lineRule="auto"/>
                    <w:ind w:firstLine="0" w:firstLineChars="0"/>
                    <w:jc w:val="center"/>
                    <w:rPr>
                      <w:b/>
                      <w:bCs/>
                      <w:sz w:val="21"/>
                      <w:szCs w:val="21"/>
                    </w:rPr>
                  </w:pPr>
                  <w:r>
                    <w:rPr>
                      <w:rFonts w:hint="eastAsia"/>
                      <w:b/>
                      <w:bCs/>
                      <w:sz w:val="21"/>
                      <w:szCs w:val="21"/>
                    </w:rPr>
                    <w:t>井深结构</w:t>
                  </w:r>
                </w:p>
              </w:tc>
              <w:tc>
                <w:tcPr>
                  <w:tcW w:w="1678" w:type="dxa"/>
                </w:tcPr>
                <w:p>
                  <w:pPr>
                    <w:spacing w:line="240" w:lineRule="auto"/>
                    <w:ind w:firstLine="0" w:firstLineChars="0"/>
                    <w:jc w:val="center"/>
                    <w:rPr>
                      <w:b/>
                      <w:bCs/>
                      <w:sz w:val="21"/>
                      <w:szCs w:val="21"/>
                    </w:rPr>
                  </w:pPr>
                  <w:r>
                    <w:rPr>
                      <w:rFonts w:hint="eastAsia"/>
                      <w:b/>
                      <w:bCs/>
                      <w:sz w:val="21"/>
                      <w:szCs w:val="21"/>
                    </w:rPr>
                    <w:t>设计井深（m）</w:t>
                  </w:r>
                </w:p>
              </w:tc>
              <w:tc>
                <w:tcPr>
                  <w:tcW w:w="1678" w:type="dxa"/>
                </w:tcPr>
                <w:p>
                  <w:pPr>
                    <w:spacing w:line="240" w:lineRule="auto"/>
                    <w:ind w:firstLine="0" w:firstLineChars="0"/>
                    <w:jc w:val="center"/>
                    <w:rPr>
                      <w:b/>
                      <w:bCs/>
                      <w:sz w:val="21"/>
                      <w:szCs w:val="21"/>
                    </w:rPr>
                  </w:pPr>
                  <w:r>
                    <w:rPr>
                      <w:rFonts w:hint="eastAsia"/>
                      <w:b/>
                      <w:bCs/>
                      <w:sz w:val="21"/>
                      <w:szCs w:val="21"/>
                    </w:rPr>
                    <w:t>钻井周期（d）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7" w:type="dxa"/>
                </w:tcPr>
                <w:p>
                  <w:pPr>
                    <w:spacing w:line="240" w:lineRule="auto"/>
                    <w:ind w:firstLine="0" w:firstLineChars="0"/>
                    <w:jc w:val="center"/>
                    <w:rPr>
                      <w:sz w:val="21"/>
                      <w:szCs w:val="21"/>
                    </w:rPr>
                  </w:pPr>
                  <w:r>
                    <w:rPr>
                      <w:rFonts w:hint="eastAsia"/>
                      <w:sz w:val="21"/>
                      <w:szCs w:val="21"/>
                    </w:rPr>
                    <w:t>夏065</w:t>
                  </w:r>
                  <w:r>
                    <w:rPr>
                      <w:rFonts w:hint="eastAsia"/>
                    </w:rPr>
                    <w:t>_</w:t>
                  </w:r>
                  <w:r>
                    <w:rPr>
                      <w:rFonts w:hint="eastAsia"/>
                      <w:sz w:val="21"/>
                      <w:szCs w:val="21"/>
                    </w:rPr>
                    <w:t>H</w:t>
                  </w:r>
                </w:p>
              </w:tc>
              <w:tc>
                <w:tcPr>
                  <w:tcW w:w="1677" w:type="dxa"/>
                </w:tcPr>
                <w:p>
                  <w:pPr>
                    <w:spacing w:line="240" w:lineRule="auto"/>
                    <w:ind w:firstLine="0" w:firstLineChars="0"/>
                    <w:jc w:val="center"/>
                    <w:rPr>
                      <w:sz w:val="21"/>
                      <w:szCs w:val="21"/>
                    </w:rPr>
                  </w:pPr>
                  <w:r>
                    <w:rPr>
                      <w:rFonts w:hint="eastAsia"/>
                      <w:sz w:val="21"/>
                      <w:szCs w:val="21"/>
                    </w:rPr>
                    <w:t>水平井</w:t>
                  </w:r>
                </w:p>
              </w:tc>
              <w:tc>
                <w:tcPr>
                  <w:tcW w:w="1678" w:type="dxa"/>
                </w:tcPr>
                <w:p>
                  <w:pPr>
                    <w:spacing w:line="240" w:lineRule="auto"/>
                    <w:ind w:firstLine="0" w:firstLineChars="0"/>
                    <w:jc w:val="center"/>
                    <w:rPr>
                      <w:sz w:val="21"/>
                      <w:szCs w:val="21"/>
                    </w:rPr>
                  </w:pPr>
                  <w:r>
                    <w:rPr>
                      <w:rFonts w:hint="eastAsia"/>
                      <w:sz w:val="21"/>
                      <w:szCs w:val="21"/>
                    </w:rPr>
                    <w:t>三开</w:t>
                  </w:r>
                </w:p>
              </w:tc>
              <w:tc>
                <w:tcPr>
                  <w:tcW w:w="1678" w:type="dxa"/>
                </w:tcPr>
                <w:p>
                  <w:pPr>
                    <w:spacing w:line="240" w:lineRule="auto"/>
                    <w:ind w:firstLine="0" w:firstLineChars="0"/>
                    <w:jc w:val="center"/>
                    <w:rPr>
                      <w:sz w:val="21"/>
                      <w:szCs w:val="21"/>
                    </w:rPr>
                  </w:pPr>
                  <w:r>
                    <w:rPr>
                      <w:rFonts w:hint="eastAsia"/>
                      <w:sz w:val="21"/>
                      <w:szCs w:val="21"/>
                    </w:rPr>
                    <w:t>1636</w:t>
                  </w:r>
                </w:p>
              </w:tc>
              <w:tc>
                <w:tcPr>
                  <w:tcW w:w="1678" w:type="dxa"/>
                </w:tcPr>
                <w:p>
                  <w:pPr>
                    <w:spacing w:line="240" w:lineRule="auto"/>
                    <w:ind w:firstLine="0" w:firstLineChars="0"/>
                    <w:jc w:val="center"/>
                    <w:rPr>
                      <w:sz w:val="21"/>
                      <w:szCs w:val="21"/>
                    </w:rPr>
                  </w:pPr>
                  <w:r>
                    <w:rPr>
                      <w:rFonts w:hint="eastAsia"/>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7" w:type="dxa"/>
                </w:tcPr>
                <w:p>
                  <w:pPr>
                    <w:spacing w:line="240" w:lineRule="auto"/>
                    <w:ind w:firstLine="0" w:firstLineChars="0"/>
                    <w:jc w:val="center"/>
                    <w:rPr>
                      <w:sz w:val="21"/>
                      <w:szCs w:val="21"/>
                    </w:rPr>
                  </w:pPr>
                  <w:bookmarkStart w:id="7" w:name="_Toc15568"/>
                  <w:r>
                    <w:rPr>
                      <w:rFonts w:hint="eastAsia"/>
                      <w:sz w:val="21"/>
                      <w:szCs w:val="21"/>
                    </w:rPr>
                    <w:t>夏072</w:t>
                  </w:r>
                  <w:r>
                    <w:rPr>
                      <w:rFonts w:hint="eastAsia"/>
                    </w:rPr>
                    <w:t>_</w:t>
                  </w:r>
                  <w:r>
                    <w:rPr>
                      <w:rFonts w:hint="eastAsia"/>
                      <w:sz w:val="21"/>
                      <w:szCs w:val="21"/>
                    </w:rPr>
                    <w:t>H</w:t>
                  </w:r>
                </w:p>
              </w:tc>
              <w:tc>
                <w:tcPr>
                  <w:tcW w:w="1677" w:type="dxa"/>
                </w:tcPr>
                <w:p>
                  <w:pPr>
                    <w:spacing w:line="240" w:lineRule="auto"/>
                    <w:ind w:firstLine="0" w:firstLineChars="0"/>
                    <w:jc w:val="center"/>
                    <w:rPr>
                      <w:sz w:val="21"/>
                      <w:szCs w:val="21"/>
                    </w:rPr>
                  </w:pPr>
                  <w:r>
                    <w:rPr>
                      <w:rFonts w:hint="eastAsia"/>
                      <w:sz w:val="21"/>
                      <w:szCs w:val="21"/>
                    </w:rPr>
                    <w:t>水平井</w:t>
                  </w:r>
                </w:p>
              </w:tc>
              <w:tc>
                <w:tcPr>
                  <w:tcW w:w="1678" w:type="dxa"/>
                </w:tcPr>
                <w:p>
                  <w:pPr>
                    <w:spacing w:line="240" w:lineRule="auto"/>
                    <w:ind w:firstLine="0" w:firstLineChars="0"/>
                    <w:jc w:val="center"/>
                    <w:rPr>
                      <w:sz w:val="21"/>
                      <w:szCs w:val="21"/>
                    </w:rPr>
                  </w:pPr>
                  <w:r>
                    <w:rPr>
                      <w:rFonts w:hint="eastAsia"/>
                      <w:sz w:val="21"/>
                      <w:szCs w:val="21"/>
                    </w:rPr>
                    <w:t>三开</w:t>
                  </w:r>
                </w:p>
              </w:tc>
              <w:tc>
                <w:tcPr>
                  <w:tcW w:w="1678" w:type="dxa"/>
                </w:tcPr>
                <w:p>
                  <w:pPr>
                    <w:spacing w:line="240" w:lineRule="auto"/>
                    <w:ind w:firstLine="0" w:firstLineChars="0"/>
                    <w:jc w:val="center"/>
                    <w:rPr>
                      <w:sz w:val="21"/>
                      <w:szCs w:val="21"/>
                    </w:rPr>
                  </w:pPr>
                  <w:r>
                    <w:rPr>
                      <w:rFonts w:hint="eastAsia"/>
                      <w:sz w:val="21"/>
                      <w:szCs w:val="21"/>
                    </w:rPr>
                    <w:t>1967</w:t>
                  </w:r>
                </w:p>
              </w:tc>
              <w:tc>
                <w:tcPr>
                  <w:tcW w:w="1678" w:type="dxa"/>
                </w:tcPr>
                <w:p>
                  <w:pPr>
                    <w:spacing w:line="240" w:lineRule="auto"/>
                    <w:ind w:firstLine="0" w:firstLineChars="0"/>
                    <w:jc w:val="center"/>
                    <w:rPr>
                      <w:sz w:val="21"/>
                      <w:szCs w:val="21"/>
                    </w:rPr>
                  </w:pPr>
                  <w:r>
                    <w:rPr>
                      <w:rFonts w:hint="eastAsia"/>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7" w:type="dxa"/>
                </w:tcPr>
                <w:p>
                  <w:pPr>
                    <w:spacing w:line="240" w:lineRule="auto"/>
                    <w:ind w:firstLine="0" w:firstLineChars="0"/>
                    <w:jc w:val="center"/>
                    <w:rPr>
                      <w:sz w:val="21"/>
                      <w:szCs w:val="21"/>
                    </w:rPr>
                  </w:pPr>
                  <w:r>
                    <w:rPr>
                      <w:rFonts w:hint="eastAsia"/>
                      <w:sz w:val="21"/>
                      <w:szCs w:val="21"/>
                    </w:rPr>
                    <w:t>夏073</w:t>
                  </w:r>
                  <w:r>
                    <w:rPr>
                      <w:rFonts w:hint="eastAsia"/>
                    </w:rPr>
                    <w:t>_</w:t>
                  </w:r>
                  <w:r>
                    <w:rPr>
                      <w:rFonts w:hint="eastAsia"/>
                      <w:sz w:val="21"/>
                      <w:szCs w:val="21"/>
                    </w:rPr>
                    <w:t>H</w:t>
                  </w:r>
                </w:p>
              </w:tc>
              <w:tc>
                <w:tcPr>
                  <w:tcW w:w="1677" w:type="dxa"/>
                </w:tcPr>
                <w:p>
                  <w:pPr>
                    <w:spacing w:line="240" w:lineRule="auto"/>
                    <w:ind w:firstLine="0" w:firstLineChars="0"/>
                    <w:jc w:val="center"/>
                    <w:rPr>
                      <w:sz w:val="21"/>
                      <w:szCs w:val="21"/>
                    </w:rPr>
                  </w:pPr>
                  <w:r>
                    <w:rPr>
                      <w:rFonts w:hint="eastAsia"/>
                      <w:sz w:val="21"/>
                      <w:szCs w:val="21"/>
                    </w:rPr>
                    <w:t>水平井</w:t>
                  </w:r>
                </w:p>
              </w:tc>
              <w:tc>
                <w:tcPr>
                  <w:tcW w:w="1678" w:type="dxa"/>
                </w:tcPr>
                <w:p>
                  <w:pPr>
                    <w:spacing w:line="240" w:lineRule="auto"/>
                    <w:ind w:firstLine="0" w:firstLineChars="0"/>
                    <w:jc w:val="center"/>
                    <w:rPr>
                      <w:sz w:val="21"/>
                      <w:szCs w:val="21"/>
                    </w:rPr>
                  </w:pPr>
                  <w:r>
                    <w:rPr>
                      <w:rFonts w:hint="eastAsia"/>
                      <w:sz w:val="21"/>
                      <w:szCs w:val="21"/>
                    </w:rPr>
                    <w:t>三开</w:t>
                  </w:r>
                </w:p>
              </w:tc>
              <w:tc>
                <w:tcPr>
                  <w:tcW w:w="1678" w:type="dxa"/>
                </w:tcPr>
                <w:p>
                  <w:pPr>
                    <w:spacing w:line="240" w:lineRule="auto"/>
                    <w:ind w:firstLine="0" w:firstLineChars="0"/>
                    <w:jc w:val="center"/>
                    <w:rPr>
                      <w:sz w:val="21"/>
                      <w:szCs w:val="21"/>
                    </w:rPr>
                  </w:pPr>
                  <w:r>
                    <w:rPr>
                      <w:rFonts w:hint="eastAsia"/>
                      <w:sz w:val="21"/>
                      <w:szCs w:val="21"/>
                    </w:rPr>
                    <w:t>1503</w:t>
                  </w:r>
                </w:p>
              </w:tc>
              <w:tc>
                <w:tcPr>
                  <w:tcW w:w="1678" w:type="dxa"/>
                </w:tcPr>
                <w:p>
                  <w:pPr>
                    <w:spacing w:line="240" w:lineRule="auto"/>
                    <w:ind w:firstLine="0" w:firstLineChars="0"/>
                    <w:jc w:val="center"/>
                    <w:rPr>
                      <w:sz w:val="21"/>
                      <w:szCs w:val="21"/>
                    </w:rPr>
                  </w:pPr>
                  <w:r>
                    <w:rPr>
                      <w:rFonts w:hint="eastAsia"/>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7" w:type="dxa"/>
                </w:tcPr>
                <w:p>
                  <w:pPr>
                    <w:spacing w:line="240" w:lineRule="auto"/>
                    <w:ind w:firstLine="0" w:firstLineChars="0"/>
                    <w:jc w:val="center"/>
                    <w:rPr>
                      <w:sz w:val="21"/>
                      <w:szCs w:val="21"/>
                    </w:rPr>
                  </w:pPr>
                  <w:r>
                    <w:rPr>
                      <w:rFonts w:hint="eastAsia"/>
                      <w:sz w:val="21"/>
                      <w:szCs w:val="21"/>
                    </w:rPr>
                    <w:t>合计</w:t>
                  </w:r>
                </w:p>
              </w:tc>
              <w:tc>
                <w:tcPr>
                  <w:tcW w:w="1677" w:type="dxa"/>
                </w:tcPr>
                <w:p>
                  <w:pPr>
                    <w:spacing w:line="240" w:lineRule="auto"/>
                    <w:ind w:firstLine="0" w:firstLineChars="0"/>
                    <w:jc w:val="center"/>
                    <w:rPr>
                      <w:sz w:val="21"/>
                      <w:szCs w:val="21"/>
                    </w:rPr>
                  </w:pPr>
                  <w:r>
                    <w:rPr>
                      <w:rFonts w:hint="eastAsia"/>
                      <w:sz w:val="21"/>
                      <w:szCs w:val="21"/>
                    </w:rPr>
                    <w:t>/</w:t>
                  </w:r>
                </w:p>
              </w:tc>
              <w:tc>
                <w:tcPr>
                  <w:tcW w:w="1678" w:type="dxa"/>
                </w:tcPr>
                <w:p>
                  <w:pPr>
                    <w:spacing w:line="240" w:lineRule="auto"/>
                    <w:ind w:firstLine="0" w:firstLineChars="0"/>
                    <w:jc w:val="center"/>
                    <w:rPr>
                      <w:sz w:val="21"/>
                      <w:szCs w:val="21"/>
                    </w:rPr>
                  </w:pPr>
                  <w:r>
                    <w:rPr>
                      <w:rFonts w:hint="eastAsia"/>
                      <w:sz w:val="21"/>
                      <w:szCs w:val="21"/>
                    </w:rPr>
                    <w:t>/</w:t>
                  </w:r>
                </w:p>
              </w:tc>
              <w:tc>
                <w:tcPr>
                  <w:tcW w:w="1678" w:type="dxa"/>
                </w:tcPr>
                <w:p>
                  <w:pPr>
                    <w:spacing w:line="240" w:lineRule="auto"/>
                    <w:ind w:firstLine="0" w:firstLineChars="0"/>
                    <w:jc w:val="center"/>
                    <w:rPr>
                      <w:sz w:val="21"/>
                      <w:szCs w:val="21"/>
                    </w:rPr>
                  </w:pPr>
                  <w:r>
                    <w:rPr>
                      <w:rFonts w:hint="eastAsia"/>
                      <w:sz w:val="21"/>
                      <w:szCs w:val="21"/>
                    </w:rPr>
                    <w:t>5106</w:t>
                  </w:r>
                </w:p>
              </w:tc>
              <w:tc>
                <w:tcPr>
                  <w:tcW w:w="1678" w:type="dxa"/>
                </w:tcPr>
                <w:p>
                  <w:pPr>
                    <w:spacing w:line="240" w:lineRule="auto"/>
                    <w:ind w:firstLine="0" w:firstLineChars="0"/>
                    <w:jc w:val="center"/>
                    <w:rPr>
                      <w:sz w:val="21"/>
                      <w:szCs w:val="21"/>
                    </w:rPr>
                  </w:pPr>
                  <w:r>
                    <w:rPr>
                      <w:rFonts w:hint="eastAsia"/>
                      <w:sz w:val="21"/>
                      <w:szCs w:val="21"/>
                    </w:rPr>
                    <w:t>90</w:t>
                  </w:r>
                </w:p>
              </w:tc>
            </w:tr>
          </w:tbl>
          <w:p>
            <w:pPr>
              <w:pStyle w:val="18"/>
            </w:pPr>
            <w:r>
              <w:t>5 钻井工程</w:t>
            </w:r>
            <w:bookmarkEnd w:id="7"/>
          </w:p>
          <w:p>
            <w:pPr>
              <w:pStyle w:val="19"/>
            </w:pPr>
            <w:r>
              <w:t>5.1 直井井身结构</w:t>
            </w:r>
          </w:p>
          <w:p>
            <w:pPr>
              <w:ind w:firstLine="480"/>
            </w:pPr>
            <w:bookmarkStart w:id="8" w:name="_Hlk24458636"/>
            <w:r>
              <w:t>井身结构设计数据见表2-</w:t>
            </w:r>
            <w:r>
              <w:rPr>
                <w:rFonts w:hint="eastAsia"/>
              </w:rPr>
              <w:t>6</w:t>
            </w:r>
            <w:r>
              <w:t>。</w:t>
            </w:r>
          </w:p>
          <w:p>
            <w:pPr>
              <w:pStyle w:val="2"/>
              <w:spacing w:line="360" w:lineRule="auto"/>
            </w:pPr>
            <w:r>
              <w:t>表2-</w:t>
            </w:r>
            <w:r>
              <w:rPr>
                <w:rFonts w:hint="eastAsia"/>
              </w:rPr>
              <w:t>6</w:t>
            </w:r>
            <w:r>
              <w:t xml:space="preserve">  井身结构一览表</w:t>
            </w:r>
          </w:p>
          <w:bookmarkEnd w:id="8"/>
          <w:tbl>
            <w:tblPr>
              <w:tblStyle w:val="14"/>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90"/>
              <w:gridCol w:w="990"/>
              <w:gridCol w:w="5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Align w:val="center"/>
                </w:tcPr>
                <w:p>
                  <w:pPr>
                    <w:pStyle w:val="20"/>
                    <w:rPr>
                      <w:b/>
                      <w:bCs/>
                    </w:rPr>
                  </w:pPr>
                  <w:r>
                    <w:rPr>
                      <w:b/>
                      <w:bCs/>
                    </w:rPr>
                    <w:t>开钻</w:t>
                  </w:r>
                </w:p>
                <w:p>
                  <w:pPr>
                    <w:pStyle w:val="20"/>
                    <w:rPr>
                      <w:b/>
                      <w:bCs/>
                    </w:rPr>
                  </w:pPr>
                  <w:r>
                    <w:rPr>
                      <w:b/>
                      <w:bCs/>
                    </w:rPr>
                    <w:t>次序</w:t>
                  </w:r>
                </w:p>
              </w:tc>
              <w:tc>
                <w:tcPr>
                  <w:tcW w:w="990" w:type="dxa"/>
                  <w:vAlign w:val="center"/>
                </w:tcPr>
                <w:p>
                  <w:pPr>
                    <w:pStyle w:val="20"/>
                    <w:rPr>
                      <w:b/>
                      <w:bCs/>
                    </w:rPr>
                  </w:pPr>
                  <w:r>
                    <w:rPr>
                      <w:b/>
                      <w:bCs/>
                    </w:rPr>
                    <w:t>钻头</w:t>
                  </w:r>
                </w:p>
                <w:p>
                  <w:pPr>
                    <w:pStyle w:val="20"/>
                    <w:rPr>
                      <w:b/>
                      <w:bCs/>
                    </w:rPr>
                  </w:pPr>
                  <w:r>
                    <w:rPr>
                      <w:b/>
                      <w:bCs/>
                    </w:rPr>
                    <w:t>尺寸（mm）</w:t>
                  </w:r>
                </w:p>
              </w:tc>
              <w:tc>
                <w:tcPr>
                  <w:tcW w:w="990" w:type="dxa"/>
                  <w:vAlign w:val="center"/>
                </w:tcPr>
                <w:p>
                  <w:pPr>
                    <w:pStyle w:val="20"/>
                    <w:rPr>
                      <w:b/>
                      <w:bCs/>
                    </w:rPr>
                  </w:pPr>
                  <w:r>
                    <w:rPr>
                      <w:b/>
                      <w:bCs/>
                    </w:rPr>
                    <w:t>套管</w:t>
                  </w:r>
                </w:p>
                <w:p>
                  <w:pPr>
                    <w:pStyle w:val="20"/>
                    <w:rPr>
                      <w:b/>
                      <w:bCs/>
                    </w:rPr>
                  </w:pPr>
                  <w:r>
                    <w:rPr>
                      <w:b/>
                      <w:bCs/>
                    </w:rPr>
                    <w:t>尺寸</w:t>
                  </w:r>
                </w:p>
                <w:p>
                  <w:pPr>
                    <w:pStyle w:val="20"/>
                    <w:rPr>
                      <w:b/>
                      <w:bCs/>
                    </w:rPr>
                  </w:pPr>
                  <w:r>
                    <w:rPr>
                      <w:b/>
                      <w:bCs/>
                    </w:rPr>
                    <w:t>（mm）</w:t>
                  </w:r>
                </w:p>
              </w:tc>
              <w:tc>
                <w:tcPr>
                  <w:tcW w:w="5805" w:type="dxa"/>
                  <w:vAlign w:val="center"/>
                </w:tcPr>
                <w:p>
                  <w:pPr>
                    <w:pStyle w:val="20"/>
                    <w:rPr>
                      <w:b/>
                      <w:bCs/>
                    </w:rPr>
                  </w:pPr>
                  <w:r>
                    <w:rPr>
                      <w:b/>
                      <w:bCs/>
                    </w:rPr>
                    <w:t>设计说明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pPr>
                    <w:pStyle w:val="20"/>
                  </w:pPr>
                  <w:r>
                    <w:t>一开</w:t>
                  </w:r>
                </w:p>
              </w:tc>
              <w:tc>
                <w:tcPr>
                  <w:tcW w:w="990" w:type="dxa"/>
                  <w:vAlign w:val="center"/>
                </w:tcPr>
                <w:p>
                  <w:pPr>
                    <w:pStyle w:val="20"/>
                  </w:pPr>
                  <w:r>
                    <w:rPr>
                      <w:rFonts w:hint="eastAsia"/>
                    </w:rPr>
                    <w:t>444.5</w:t>
                  </w:r>
                </w:p>
              </w:tc>
              <w:tc>
                <w:tcPr>
                  <w:tcW w:w="990" w:type="dxa"/>
                  <w:vAlign w:val="center"/>
                </w:tcPr>
                <w:p>
                  <w:pPr>
                    <w:pStyle w:val="20"/>
                  </w:pPr>
                  <w:r>
                    <w:rPr>
                      <w:rFonts w:hint="eastAsia"/>
                    </w:rPr>
                    <w:t>339.7</w:t>
                  </w:r>
                </w:p>
              </w:tc>
              <w:tc>
                <w:tcPr>
                  <w:tcW w:w="5805" w:type="dxa"/>
                  <w:vAlign w:val="center"/>
                </w:tcPr>
                <w:p>
                  <w:pPr>
                    <w:pStyle w:val="20"/>
                  </w:pPr>
                  <w:r>
                    <w:rPr>
                      <w:rFonts w:hint="eastAsia"/>
                    </w:rPr>
                    <w:t>采用Φ444.5mm钻头钻至井深200m，下入339.7mm表层套管，固井水泥浆返至地面。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pPr>
                    <w:pStyle w:val="20"/>
                  </w:pPr>
                  <w:r>
                    <w:t>二开</w:t>
                  </w:r>
                </w:p>
              </w:tc>
              <w:tc>
                <w:tcPr>
                  <w:tcW w:w="990" w:type="dxa"/>
                  <w:vAlign w:val="center"/>
                </w:tcPr>
                <w:p>
                  <w:pPr>
                    <w:pStyle w:val="20"/>
                  </w:pPr>
                  <w:r>
                    <w:rPr>
                      <w:rFonts w:hint="eastAsia"/>
                    </w:rPr>
                    <w:t>311.2</w:t>
                  </w:r>
                </w:p>
              </w:tc>
              <w:tc>
                <w:tcPr>
                  <w:tcW w:w="990" w:type="dxa"/>
                  <w:vAlign w:val="center"/>
                </w:tcPr>
                <w:p>
                  <w:pPr>
                    <w:pStyle w:val="20"/>
                  </w:pPr>
                  <w:r>
                    <w:rPr>
                      <w:rFonts w:hint="eastAsia"/>
                    </w:rPr>
                    <w:t>244.5</w:t>
                  </w:r>
                </w:p>
              </w:tc>
              <w:tc>
                <w:tcPr>
                  <w:tcW w:w="5805" w:type="dxa"/>
                  <w:vAlign w:val="center"/>
                </w:tcPr>
                <w:p>
                  <w:pPr>
                    <w:pStyle w:val="20"/>
                  </w:pPr>
                  <w:r>
                    <w:rPr>
                      <w:rFonts w:hint="eastAsia"/>
                    </w:rPr>
                    <w:t>采用311.2mm钻头钻至1500m，下入244.5mm技术套管，水泥浆返至1000m。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pPr>
                    <w:pStyle w:val="20"/>
                  </w:pPr>
                  <w:r>
                    <w:rPr>
                      <w:rFonts w:hint="eastAsia"/>
                    </w:rPr>
                    <w:t>三开</w:t>
                  </w:r>
                </w:p>
              </w:tc>
              <w:tc>
                <w:tcPr>
                  <w:tcW w:w="990" w:type="dxa"/>
                  <w:vAlign w:val="center"/>
                </w:tcPr>
                <w:p>
                  <w:pPr>
                    <w:pStyle w:val="20"/>
                  </w:pPr>
                  <w:r>
                    <w:rPr>
                      <w:rFonts w:hint="eastAsia"/>
                    </w:rPr>
                    <w:t>215.9</w:t>
                  </w:r>
                </w:p>
              </w:tc>
              <w:tc>
                <w:tcPr>
                  <w:tcW w:w="990" w:type="dxa"/>
                  <w:vAlign w:val="center"/>
                </w:tcPr>
                <w:p>
                  <w:pPr>
                    <w:pStyle w:val="20"/>
                  </w:pPr>
                  <w:r>
                    <w:rPr>
                      <w:rFonts w:hint="eastAsia"/>
                    </w:rPr>
                    <w:t>139.7</w:t>
                  </w:r>
                </w:p>
              </w:tc>
              <w:tc>
                <w:tcPr>
                  <w:tcW w:w="5805" w:type="dxa"/>
                  <w:vAlign w:val="center"/>
                </w:tcPr>
                <w:p>
                  <w:pPr>
                    <w:pStyle w:val="20"/>
                  </w:pPr>
                  <w:r>
                    <w:rPr>
                      <w:rFonts w:hint="eastAsia"/>
                    </w:rPr>
                    <w:t>采用215.9mm钻头钻至完钻井深，下入139.7mm油层套管，固井水泥返至油层上200m。</w:t>
                  </w:r>
                </w:p>
              </w:tc>
            </w:tr>
          </w:tbl>
          <w:p>
            <w:pPr>
              <w:widowControl/>
              <w:tabs>
                <w:tab w:val="left" w:pos="422"/>
              </w:tabs>
              <w:ind w:firstLine="480"/>
              <w:jc w:val="left"/>
            </w:pPr>
            <w:r>
              <w:rPr>
                <w:rFonts w:hint="eastAsia"/>
              </w:rPr>
              <w:t>本项目</w:t>
            </w:r>
            <w:r>
              <w:t>井身结构见图2-</w:t>
            </w:r>
            <w:r>
              <w:rPr>
                <w:rFonts w:hint="eastAsia"/>
              </w:rPr>
              <w:t>4</w:t>
            </w:r>
            <w:r>
              <w:t>。</w:t>
            </w: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ind w:firstLine="480"/>
            </w:pPr>
          </w:p>
          <w:p>
            <w:pPr>
              <w:pStyle w:val="22"/>
              <w:rPr>
                <w:color w:val="auto"/>
              </w:rPr>
            </w:pPr>
            <w:r>
              <w:rPr>
                <w:color w:val="auto"/>
              </w:rPr>
              <mc:AlternateContent>
                <mc:Choice Requires="wpg">
                  <w:drawing>
                    <wp:anchor distT="0" distB="0" distL="114300" distR="114300" simplePos="0" relativeHeight="251663360" behindDoc="0" locked="0" layoutInCell="1" allowOverlap="1">
                      <wp:simplePos x="0" y="0"/>
                      <wp:positionH relativeFrom="column">
                        <wp:posOffset>1905</wp:posOffset>
                      </wp:positionH>
                      <wp:positionV relativeFrom="paragraph">
                        <wp:posOffset>68580</wp:posOffset>
                      </wp:positionV>
                      <wp:extent cx="5296535" cy="4034155"/>
                      <wp:effectExtent l="0" t="0" r="18415" b="4445"/>
                      <wp:wrapNone/>
                      <wp:docPr id="176" name="组合 176"/>
                      <wp:cNvGraphicFramePr/>
                      <a:graphic xmlns:a="http://schemas.openxmlformats.org/drawingml/2006/main">
                        <a:graphicData uri="http://schemas.microsoft.com/office/word/2010/wordprocessingGroup">
                          <wpg:wgp>
                            <wpg:cNvGrpSpPr/>
                            <wpg:grpSpPr>
                              <a:xfrm>
                                <a:off x="0" y="0"/>
                                <a:ext cx="5296535" cy="4034155"/>
                                <a:chOff x="3174" y="258905"/>
                                <a:chExt cx="8341" cy="6353"/>
                              </a:xfrm>
                              <a:effectLst/>
                            </wpg:grpSpPr>
                            <pic:pic xmlns:pic="http://schemas.openxmlformats.org/drawingml/2006/picture">
                              <pic:nvPicPr>
                                <pic:cNvPr id="155" name="图片 155" descr="4_副本"/>
                                <pic:cNvPicPr>
                                  <a:picLocks noChangeAspect="1"/>
                                </pic:cNvPicPr>
                              </pic:nvPicPr>
                              <pic:blipFill>
                                <a:blip r:embed="rId13"/>
                                <a:stretch>
                                  <a:fillRect/>
                                </a:stretch>
                              </pic:blipFill>
                              <pic:spPr>
                                <a:xfrm>
                                  <a:off x="3174" y="258905"/>
                                  <a:ext cx="8341" cy="6353"/>
                                </a:xfrm>
                                <a:prstGeom prst="rect">
                                  <a:avLst/>
                                </a:prstGeom>
                                <a:noFill/>
                                <a:ln>
                                  <a:noFill/>
                                </a:ln>
                                <a:effectLst/>
                              </pic:spPr>
                            </pic:pic>
                            <wpg:grpSp>
                              <wpg:cNvPr id="145" name="组合 145"/>
                              <wpg:cNvGrpSpPr/>
                              <wpg:grpSpPr>
                                <a:xfrm>
                                  <a:off x="4693" y="259818"/>
                                  <a:ext cx="2811" cy="887"/>
                                  <a:chOff x="3791" y="259818"/>
                                  <a:chExt cx="2811" cy="887"/>
                                </a:xfrm>
                                <a:effectLst/>
                              </wpg:grpSpPr>
                              <wps:wsp>
                                <wps:cNvPr id="138" name="直接箭头连接符 138"/>
                                <wps:cNvCnPr/>
                                <wps:spPr>
                                  <a:xfrm>
                                    <a:off x="3791" y="260245"/>
                                    <a:ext cx="2807" cy="12"/>
                                  </a:xfrm>
                                  <a:prstGeom prst="straightConnector1">
                                    <a:avLst/>
                                  </a:prstGeom>
                                  <a:noFill/>
                                  <a:ln w="6350" cap="flat" cmpd="sng" algn="ctr">
                                    <a:solidFill>
                                      <a:srgbClr val="FFFFFF"/>
                                    </a:solidFill>
                                    <a:prstDash val="solid"/>
                                    <a:miter lim="800000"/>
                                    <a:headEnd type="triangle" w="med" len="med"/>
                                    <a:tailEnd type="none" w="med" len="med"/>
                                  </a:ln>
                                  <a:effectLst/>
                                </wps:spPr>
                                <wps:bodyPr/>
                              </wps:wsp>
                              <wps:wsp>
                                <wps:cNvPr id="142" name="文本框 142"/>
                                <wps:cNvSpPr txBox="1"/>
                                <wps:spPr>
                                  <a:xfrm>
                                    <a:off x="3832" y="259818"/>
                                    <a:ext cx="2768" cy="477"/>
                                  </a:xfrm>
                                  <a:prstGeom prst="rect">
                                    <a:avLst/>
                                  </a:prstGeom>
                                  <a:noFill/>
                                  <a:ln w="6350">
                                    <a:noFill/>
                                  </a:ln>
                                  <a:effectLst/>
                                </wps:spPr>
                                <wps:txbx>
                                  <w:txbxContent>
                                    <w:p>
                                      <w:pPr>
                                        <w:ind w:firstLine="0" w:firstLineChars="0"/>
                                        <w:jc w:val="left"/>
                                        <w:rPr>
                                          <w:sz w:val="21"/>
                                          <w:szCs w:val="18"/>
                                        </w:rPr>
                                      </w:pPr>
                                      <w:r>
                                        <w:rPr>
                                          <w:sz w:val="21"/>
                                          <w:szCs w:val="18"/>
                                        </w:rPr>
                                        <w:t>Φ444.5mm钻头×一开深度</w:t>
                                      </w:r>
                                    </w:p>
                                    <w:p>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3" name="文本框 143"/>
                                <wps:cNvSpPr txBox="1"/>
                                <wps:spPr>
                                  <a:xfrm>
                                    <a:off x="3834" y="260228"/>
                                    <a:ext cx="2768" cy="477"/>
                                  </a:xfrm>
                                  <a:prstGeom prst="rect">
                                    <a:avLst/>
                                  </a:prstGeom>
                                  <a:noFill/>
                                  <a:ln w="6350">
                                    <a:noFill/>
                                  </a:ln>
                                  <a:effectLst/>
                                </wps:spPr>
                                <wps:txbx>
                                  <w:txbxContent>
                                    <w:p>
                                      <w:pPr>
                                        <w:ind w:firstLine="0" w:firstLineChars="0"/>
                                        <w:jc w:val="left"/>
                                        <w:rPr>
                                          <w:sz w:val="21"/>
                                          <w:szCs w:val="18"/>
                                        </w:rPr>
                                      </w:pPr>
                                      <w:r>
                                        <w:rPr>
                                          <w:sz w:val="21"/>
                                          <w:szCs w:val="18"/>
                                        </w:rPr>
                                        <w:t>Φ</w:t>
                                      </w:r>
                                      <w:r>
                                        <w:rPr>
                                          <w:rFonts w:hint="eastAsia"/>
                                          <w:sz w:val="21"/>
                                          <w:szCs w:val="18"/>
                                        </w:rPr>
                                        <w:t>339.7</w:t>
                                      </w:r>
                                      <w:r>
                                        <w:rPr>
                                          <w:sz w:val="21"/>
                                          <w:szCs w:val="18"/>
                                        </w:rPr>
                                        <w:t>mm</w:t>
                                      </w:r>
                                      <w:r>
                                        <w:rPr>
                                          <w:rFonts w:hint="eastAsia"/>
                                          <w:sz w:val="21"/>
                                          <w:szCs w:val="18"/>
                                        </w:rPr>
                                        <w:t>套管</w:t>
                                      </w:r>
                                      <w:r>
                                        <w:rPr>
                                          <w:sz w:val="21"/>
                                          <w:szCs w:val="18"/>
                                        </w:rPr>
                                        <w:t>×一开深度</w:t>
                                      </w:r>
                                    </w:p>
                                    <w:p>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46" name="组合 146"/>
                              <wpg:cNvGrpSpPr/>
                              <wpg:grpSpPr>
                                <a:xfrm>
                                  <a:off x="6642" y="262525"/>
                                  <a:ext cx="2904" cy="848"/>
                                  <a:chOff x="3791" y="259831"/>
                                  <a:chExt cx="2904" cy="848"/>
                                </a:xfrm>
                                <a:effectLst/>
                              </wpg:grpSpPr>
                              <wps:wsp>
                                <wps:cNvPr id="147" name="直接箭头连接符 138"/>
                                <wps:cNvCnPr/>
                                <wps:spPr>
                                  <a:xfrm>
                                    <a:off x="3791" y="260245"/>
                                    <a:ext cx="2904" cy="14"/>
                                  </a:xfrm>
                                  <a:prstGeom prst="straightConnector1">
                                    <a:avLst/>
                                  </a:prstGeom>
                                  <a:noFill/>
                                  <a:ln w="6350" cap="flat" cmpd="sng" algn="ctr">
                                    <a:solidFill>
                                      <a:srgbClr val="FFFFFF"/>
                                    </a:solidFill>
                                    <a:prstDash val="solid"/>
                                    <a:miter lim="800000"/>
                                    <a:headEnd type="triangle" w="med" len="med"/>
                                    <a:tailEnd type="none" w="med" len="med"/>
                                  </a:ln>
                                  <a:effectLst/>
                                </wps:spPr>
                                <wps:bodyPr/>
                              </wps:wsp>
                              <wps:wsp>
                                <wps:cNvPr id="148" name="文本框 142"/>
                                <wps:cNvSpPr txBox="1"/>
                                <wps:spPr>
                                  <a:xfrm>
                                    <a:off x="3832" y="259831"/>
                                    <a:ext cx="2768" cy="477"/>
                                  </a:xfrm>
                                  <a:prstGeom prst="rect">
                                    <a:avLst/>
                                  </a:prstGeom>
                                  <a:noFill/>
                                  <a:ln w="6350">
                                    <a:noFill/>
                                  </a:ln>
                                  <a:effectLst/>
                                </wps:spPr>
                                <wps:txbx>
                                  <w:txbxContent>
                                    <w:p>
                                      <w:pPr>
                                        <w:ind w:firstLine="0" w:firstLineChars="0"/>
                                        <w:jc w:val="left"/>
                                        <w:rPr>
                                          <w:sz w:val="21"/>
                                          <w:szCs w:val="18"/>
                                        </w:rPr>
                                      </w:pPr>
                                      <w:r>
                                        <w:rPr>
                                          <w:sz w:val="21"/>
                                          <w:szCs w:val="18"/>
                                        </w:rPr>
                                        <w:t>Φ</w:t>
                                      </w:r>
                                      <w:r>
                                        <w:rPr>
                                          <w:rFonts w:hint="eastAsia"/>
                                          <w:sz w:val="21"/>
                                          <w:szCs w:val="18"/>
                                        </w:rPr>
                                        <w:t>311</w:t>
                                      </w:r>
                                      <w:r>
                                        <w:rPr>
                                          <w:sz w:val="21"/>
                                          <w:szCs w:val="18"/>
                                        </w:rPr>
                                        <w:t>mm钻头×</w:t>
                                      </w:r>
                                      <w:r>
                                        <w:rPr>
                                          <w:rFonts w:hint="eastAsia"/>
                                          <w:sz w:val="21"/>
                                          <w:szCs w:val="18"/>
                                        </w:rPr>
                                        <w:t>二</w:t>
                                      </w:r>
                                      <w:r>
                                        <w:rPr>
                                          <w:sz w:val="21"/>
                                          <w:szCs w:val="18"/>
                                        </w:rPr>
                                        <w:t>开深度</w:t>
                                      </w:r>
                                    </w:p>
                                    <w:p>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9" name="文本框 143"/>
                                <wps:cNvSpPr txBox="1"/>
                                <wps:spPr>
                                  <a:xfrm>
                                    <a:off x="3847" y="260202"/>
                                    <a:ext cx="2768" cy="477"/>
                                  </a:xfrm>
                                  <a:prstGeom prst="rect">
                                    <a:avLst/>
                                  </a:prstGeom>
                                  <a:noFill/>
                                  <a:ln w="6350">
                                    <a:noFill/>
                                  </a:ln>
                                  <a:effectLst/>
                                </wps:spPr>
                                <wps:txbx>
                                  <w:txbxContent>
                                    <w:p>
                                      <w:pPr>
                                        <w:ind w:firstLine="0" w:firstLineChars="0"/>
                                        <w:jc w:val="left"/>
                                        <w:rPr>
                                          <w:sz w:val="21"/>
                                          <w:szCs w:val="18"/>
                                        </w:rPr>
                                      </w:pPr>
                                      <w:r>
                                        <w:rPr>
                                          <w:sz w:val="21"/>
                                          <w:szCs w:val="18"/>
                                        </w:rPr>
                                        <w:t>Φ</w:t>
                                      </w:r>
                                      <w:r>
                                        <w:rPr>
                                          <w:rFonts w:hint="eastAsia"/>
                                          <w:sz w:val="21"/>
                                          <w:szCs w:val="18"/>
                                        </w:rPr>
                                        <w:t>244.5</w:t>
                                      </w:r>
                                      <w:r>
                                        <w:rPr>
                                          <w:sz w:val="21"/>
                                          <w:szCs w:val="18"/>
                                        </w:rPr>
                                        <w:t>mm</w:t>
                                      </w:r>
                                      <w:r>
                                        <w:rPr>
                                          <w:rFonts w:hint="eastAsia"/>
                                          <w:sz w:val="21"/>
                                          <w:szCs w:val="18"/>
                                        </w:rPr>
                                        <w:t>套管</w:t>
                                      </w:r>
                                      <w:r>
                                        <w:rPr>
                                          <w:sz w:val="21"/>
                                          <w:szCs w:val="18"/>
                                        </w:rPr>
                                        <w:t>×</w:t>
                                      </w:r>
                                      <w:r>
                                        <w:rPr>
                                          <w:rFonts w:hint="eastAsia"/>
                                          <w:sz w:val="21"/>
                                          <w:szCs w:val="18"/>
                                        </w:rPr>
                                        <w:t>二</w:t>
                                      </w:r>
                                      <w:r>
                                        <w:rPr>
                                          <w:sz w:val="21"/>
                                          <w:szCs w:val="18"/>
                                        </w:rPr>
                                        <w:t>开深度</w:t>
                                      </w:r>
                                    </w:p>
                                    <w:p>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50" name="组合 150"/>
                              <wpg:cNvGrpSpPr/>
                              <wpg:grpSpPr>
                                <a:xfrm>
                                  <a:off x="5606" y="264320"/>
                                  <a:ext cx="3191" cy="861"/>
                                  <a:chOff x="3450" y="259844"/>
                                  <a:chExt cx="3191" cy="861"/>
                                </a:xfrm>
                                <a:effectLst/>
                              </wpg:grpSpPr>
                              <wps:wsp>
                                <wps:cNvPr id="151" name="直接箭头连接符 138"/>
                                <wps:cNvCnPr/>
                                <wps:spPr>
                                  <a:xfrm flipV="1">
                                    <a:off x="3791" y="260232"/>
                                    <a:ext cx="2387" cy="13"/>
                                  </a:xfrm>
                                  <a:prstGeom prst="straightConnector1">
                                    <a:avLst/>
                                  </a:prstGeom>
                                  <a:noFill/>
                                  <a:ln w="6350" cap="flat" cmpd="sng" algn="ctr">
                                    <a:solidFill>
                                      <a:srgbClr val="FFFFFF"/>
                                    </a:solidFill>
                                    <a:prstDash val="solid"/>
                                    <a:miter lim="800000"/>
                                    <a:headEnd type="none" w="med" len="med"/>
                                    <a:tailEnd type="triangle" w="med" len="med"/>
                                  </a:ln>
                                  <a:effectLst/>
                                </wps:spPr>
                                <wps:bodyPr/>
                              </wps:wsp>
                              <wps:wsp>
                                <wps:cNvPr id="152" name="文本框 142"/>
                                <wps:cNvSpPr txBox="1"/>
                                <wps:spPr>
                                  <a:xfrm>
                                    <a:off x="3659" y="259844"/>
                                    <a:ext cx="2795" cy="477"/>
                                  </a:xfrm>
                                  <a:prstGeom prst="rect">
                                    <a:avLst/>
                                  </a:prstGeom>
                                  <a:noFill/>
                                  <a:ln w="6350">
                                    <a:noFill/>
                                  </a:ln>
                                  <a:effectLst/>
                                </wps:spPr>
                                <wps:txbx>
                                  <w:txbxContent>
                                    <w:p>
                                      <w:pPr>
                                        <w:ind w:firstLine="0" w:firstLineChars="0"/>
                                        <w:jc w:val="left"/>
                                        <w:rPr>
                                          <w:sz w:val="21"/>
                                          <w:szCs w:val="18"/>
                                        </w:rPr>
                                      </w:pPr>
                                      <w:r>
                                        <w:rPr>
                                          <w:sz w:val="21"/>
                                          <w:szCs w:val="18"/>
                                        </w:rPr>
                                        <w:t>Φ</w:t>
                                      </w:r>
                                      <w:r>
                                        <w:rPr>
                                          <w:rFonts w:hint="eastAsia"/>
                                          <w:sz w:val="21"/>
                                          <w:szCs w:val="18"/>
                                        </w:rPr>
                                        <w:t>215.9</w:t>
                                      </w:r>
                                      <w:r>
                                        <w:rPr>
                                          <w:sz w:val="21"/>
                                          <w:szCs w:val="18"/>
                                        </w:rPr>
                                        <w:t>mm钻头×</w:t>
                                      </w:r>
                                      <w:r>
                                        <w:rPr>
                                          <w:rFonts w:hint="eastAsia"/>
                                          <w:sz w:val="21"/>
                                          <w:szCs w:val="18"/>
                                        </w:rPr>
                                        <w:t>完钻</w:t>
                                      </w:r>
                                      <w:r>
                                        <w:rPr>
                                          <w:sz w:val="21"/>
                                          <w:szCs w:val="18"/>
                                        </w:rPr>
                                        <w:t>深度</w:t>
                                      </w:r>
                                    </w:p>
                                    <w:p>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3" name="文本框 143"/>
                                <wps:cNvSpPr txBox="1"/>
                                <wps:spPr>
                                  <a:xfrm>
                                    <a:off x="3450" y="260228"/>
                                    <a:ext cx="3191" cy="477"/>
                                  </a:xfrm>
                                  <a:prstGeom prst="rect">
                                    <a:avLst/>
                                  </a:prstGeom>
                                  <a:noFill/>
                                  <a:ln w="6350">
                                    <a:noFill/>
                                  </a:ln>
                                  <a:effectLst/>
                                </wps:spPr>
                                <wps:txbx>
                                  <w:txbxContent>
                                    <w:p>
                                      <w:pPr>
                                        <w:ind w:firstLine="0" w:firstLineChars="0"/>
                                        <w:jc w:val="left"/>
                                        <w:rPr>
                                          <w:sz w:val="21"/>
                                          <w:szCs w:val="18"/>
                                        </w:rPr>
                                      </w:pPr>
                                      <w:r>
                                        <w:rPr>
                                          <w:sz w:val="21"/>
                                          <w:szCs w:val="18"/>
                                        </w:rPr>
                                        <w:t>Φ</w:t>
                                      </w:r>
                                      <w:r>
                                        <w:rPr>
                                          <w:rFonts w:hint="eastAsia"/>
                                          <w:sz w:val="21"/>
                                          <w:szCs w:val="18"/>
                                        </w:rPr>
                                        <w:t>139.7</w:t>
                                      </w:r>
                                      <w:r>
                                        <w:rPr>
                                          <w:sz w:val="21"/>
                                          <w:szCs w:val="18"/>
                                        </w:rPr>
                                        <w:t>mm</w:t>
                                      </w:r>
                                      <w:r>
                                        <w:rPr>
                                          <w:rFonts w:hint="eastAsia"/>
                                          <w:sz w:val="21"/>
                                          <w:szCs w:val="18"/>
                                        </w:rPr>
                                        <w:t>油层套管</w:t>
                                      </w:r>
                                      <w:r>
                                        <w:rPr>
                                          <w:sz w:val="21"/>
                                          <w:szCs w:val="18"/>
                                        </w:rPr>
                                        <w:t>×</w:t>
                                      </w:r>
                                      <w:r>
                                        <w:rPr>
                                          <w:rFonts w:hint="eastAsia"/>
                                          <w:sz w:val="21"/>
                                          <w:szCs w:val="18"/>
                                        </w:rPr>
                                        <w:t>完钻</w:t>
                                      </w:r>
                                      <w:r>
                                        <w:rPr>
                                          <w:sz w:val="21"/>
                                          <w:szCs w:val="18"/>
                                        </w:rPr>
                                        <w:t>深度</w:t>
                                      </w:r>
                                    </w:p>
                                    <w:p>
                                      <w:pPr>
                                        <w:ind w:firstLine="480"/>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57" name="组合 157"/>
                              <wpg:cNvGrpSpPr/>
                              <wpg:grpSpPr>
                                <a:xfrm>
                                  <a:off x="4508" y="261515"/>
                                  <a:ext cx="2768" cy="477"/>
                                  <a:chOff x="6281" y="261515"/>
                                  <a:chExt cx="2768" cy="477"/>
                                </a:xfrm>
                                <a:effectLst/>
                              </wpg:grpSpPr>
                              <wps:wsp>
                                <wps:cNvPr id="144" name="文本框 144"/>
                                <wps:cNvSpPr txBox="1"/>
                                <wps:spPr>
                                  <a:xfrm>
                                    <a:off x="6281" y="261515"/>
                                    <a:ext cx="2768" cy="477"/>
                                  </a:xfrm>
                                  <a:prstGeom prst="rect">
                                    <a:avLst/>
                                  </a:prstGeom>
                                  <a:noFill/>
                                  <a:ln w="6350">
                                    <a:noFill/>
                                  </a:ln>
                                  <a:effectLst/>
                                </wps:spPr>
                                <wps:txbx>
                                  <w:txbxContent>
                                    <w:p>
                                      <w:pPr>
                                        <w:ind w:firstLine="0" w:firstLineChars="0"/>
                                      </w:pPr>
                                      <w:r>
                                        <w:rPr>
                                          <w:rFonts w:hint="eastAsia"/>
                                          <w:sz w:val="21"/>
                                          <w:szCs w:val="18"/>
                                        </w:rPr>
                                        <w:t>一开、二开水泥浆返至地面</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6" name="直接箭头连接符 156"/>
                                <wps:cNvCnPr/>
                                <wps:spPr>
                                  <a:xfrm flipV="1">
                                    <a:off x="6328" y="261943"/>
                                    <a:ext cx="2387" cy="13"/>
                                  </a:xfrm>
                                  <a:prstGeom prst="straightConnector1">
                                    <a:avLst/>
                                  </a:prstGeom>
                                  <a:noFill/>
                                  <a:ln w="6350" cap="flat" cmpd="sng" algn="ctr">
                                    <a:solidFill>
                                      <a:srgbClr val="FFFFFF"/>
                                    </a:solidFill>
                                    <a:prstDash val="solid"/>
                                    <a:miter lim="800000"/>
                                    <a:headEnd type="triangle" w="med" len="med"/>
                                    <a:tailEnd type="none" w="med" len="med"/>
                                  </a:ln>
                                  <a:effectLst/>
                                </wps:spPr>
                                <wps:bodyPr/>
                              </wps:wsp>
                            </wpg:grpSp>
                          </wpg:wgp>
                        </a:graphicData>
                      </a:graphic>
                    </wp:anchor>
                  </w:drawing>
                </mc:Choice>
                <mc:Fallback>
                  <w:pict>
                    <v:group id="_x0000_s1026" o:spid="_x0000_s1026" o:spt="203" style="position:absolute;left:0pt;margin-left:0.15pt;margin-top:5.4pt;height:317.65pt;width:417.05pt;z-index:251663360;mso-width-relative:page;mso-height-relative:page;" coordorigin="3174,258905" coordsize="8341,6353" o:gfxdata="UEsDBAoAAAAAAIdO4kAAAAAAAAAAAAAAAAAEAAAAZHJzL1BLAwQUAAAACACHTuJA9gmFR9YAAAAH&#10;AQAADwAAAGRycy9kb3ducmV2LnhtbE2OzUrDQBSF94LvMFzBnZ2JiaHETIoUdVUEW0Hc3WZuk9DM&#10;TMhMk/btva7s8vxwzleuzrYXE42h805DslAgyNXedK7R8LV7e1iCCBGdwd470nChAKvq9qbEwvjZ&#10;fdK0jY3gERcK1NDGOBRShroli2HhB3KcHfxoMbIcG2lGnHnc9vJRqVxa7Bw/tDjQuqX6uD1ZDe8z&#10;zi9p8jptjof15Wf39PG9SUjr+7tEPYOIdI7/ZfjDZ3SomGnvT84E0WtIuceuYn5Ol2mWgdhryLM8&#10;AVmV8pq/+gVQSwMEFAAAAAgAh07iQEcy1PlQBgAASCYAAA4AAABkcnMvZTJvRG9jLnhtbO1aW2/c&#10;RBR+R+I/jPxO1/fdtbqpQtJUlSIaUS6PaNZrry1sjxlPshueEaUviCdeipCQgKcCL31Dgl+TlJ/B&#10;N+PrXlKSkCYlbKRux3PzmTPfOeebM757b54m5CjgRcyykWbc0TUSZD6bxNl0pH34wd47A40UgmYT&#10;mrAsGGnHQaHd23r7rbuz3AtMFrFkEnCCSbLCm+UjLRIi93q9wo+ClBZ3WB5kaAwZT6nAI5/2JpzO&#10;MHua9Exdd3szxic5Z35QFKjdLRu1akZ+nglZGMZ+sMv8wzTIRDkrDxIqsKQiivNC21LShmHgi0dh&#10;WASCJCMNKxXqFy9BeSx/e1t3qTflNI9ivxKBnkeEpTWlNM7w0maqXSooOeTxylRp7HNWsFDc8Vna&#10;KxeiNIJVGPqSbh5wdpirtUy92TRvlI6NWtL6paf13zs64CSeAAl9VyMZTbHlL3//4uSbr4isgX5m&#10;+dRDtwc8f5wf8KpiWj7JJc9Dnsr/sRgyV5o9bjQbzAXxUemYQ9exHI34aLN1yzYcp9S9H2GD5DjL&#10;6NsaQbPpDIZ603q/mmGAMeVw13IsObbXvjpQO71fCFkt5W3Ey2Pfw79KdSitqO6fAYtR4pAH2Ag5&#10;W3Z0EPsHvHzoqA8LqtR38uyPl0+fELlEMgkKH3CzPzl5+tvpd8+l3HISOa6chUrx9pn/aUEythPR&#10;bBpsFzlwix1Rq1zs3pOPCyKMkzjfi5NEboEsX60hEe4F6TgAPvjDiRKIeoXggfAj+cIQL34fwpbb&#10;0TQoKVvBpMwFsLMGLWt3vUbNK/c854V4ELCUyALEgxTYIerRowoH0GzVRVZnTCoJclIvyRYqgKOy&#10;ZgFFrcxqMXgsLUEh6zVbot1AqbZE1ED0C1qi7Q6tyqKGA2MgZ6BerVtzYFT2NBj0y6bWFPtDtClT&#10;bAf6UW2KK0PPZYmzHPGiqOGJpxVLvJATexzRXJqknLZjhRaiV+XEnr04/fqnl7/+cvLji7/+/F6W&#10;n/9MDHRQmlSjdrLKoRVn4rNRhaub5S50daj3S59kmHLWjh5q6FXohGXQeBqJHZZlACrjxrmxSmYj&#10;DS4PAcunCLchwhyKaQ6TLLKpRmgyRRz3BVczFiyJJ7U7KPh0vJNwckQR/fbUXyXmQjcp6y4torKf&#10;aioBkcYCoT6J05E20OVfWR0FdHI/mxBxnCNYCB7DaSWBJgVNg4lGkgACyZICnKBx0vbOwCnW91xv&#10;hnJ7S9chS2M2OVY7Biev0FTu/+uHlW3WsDr99gn8+OkPXxIDlS2UZGwkYv4uQyhTfrKVvI1TVYi0&#10;BhbmW7KvxjD7LjCs4mRfGebZqLqQz2twdA7n18ouS2I+nlcLLTeAcAaPC0QWub8XAz37tBAHlIM5&#10;oRLcUjzCT5gwIIJVJY1EjH++rl72hy9AK4ABJgZcf3ZIEW9J8jCDlxgato1phXqwnb6JB95tGXdb&#10;ssN0hwHucGCQThVlf5HUxZCz9GNQ0G35VjTRzMe7geO6uCNKfggK6wfb26oTyFpOxX72OAeBKG03&#10;Y9uHgoVxxTlqcCoCcr3YhJMvXV4Xm4oiyd2Dc7wgNisaBodnLgeNDTZvCzZbmnyNvGblhGFf5oTh&#10;utIdS/fpmo5ZnRQa9znUgV/pPgd2hd71vMaq2GyH1ywP7XjeBW64cMKQNnYNAQhE4/p4TaMIw5Yh&#10;rqOHDa+5Xbymocvd2HElvKa2r8YwN7HjtsSOa3J5w9rldbF5eV5jw4WqoKGbukJ45yC3weZtweZN&#10;8Bp5OF/MnKJGnZgulDl1XB0ESUHUtnDKwQwtRC1D5mQUr3Eb5lKnTm0pgRzoDAe2CtnUa3nNytBO&#10;PL9pXuNgUf+a15AQec+P6oNZfcjuZm5w3l7Qpmkh6aW0aSznkv8/DOfsXAz1FrM2r87xAE5rEqgy&#10;SLwBmRvnajM3roOotGRpLcMZInG7ydxsMjfLF3lnJKtxj3WVmZsmCqzJ3LQxwN5kFf/bWcUbYTht&#10;+qG6G3ZUbvqiN1KOjgOnYjiGYyxnbpZJuOQwFcNxcee0MrBlOOby0DeI4YCPrTFyRdIukZ5dq4g2&#10;AG2uDjZXB+u+JDkrALUJ2fW3pU6Vn33Vbela9u1auDuoLH1oK47dnmU27Pvm7027UUSV8YGRyvRW&#10;H0PJL5i6z+peq/0AbOtvUEsDBAoAAAAAAIdO4kAAAAAAAAAAAAAAAAAKAAAAZHJzL21lZGlhL1BL&#10;AwQUAAAACACHTuJAFQH8H0CBAAA2gQAAFQAAAGRycy9tZWRpYS9pbWFnZTEuanBlZwAAgP9//9j/&#10;4QAwRXhpZgAATU0AKgAAAAgAAQExAAIAAAAOAAAAGgAAAAB3d3cubWVpdHUuY29tAP/bAEMAAQEB&#10;AQEBAQEBAQEBAQEBAQEBAQEBAQEBAQEBAQEBAQEBAQEBAQEBAQEBAQEBAQEBAQEBAQEBAQEBAQEB&#10;AQEBAf/bAEMBAQEBAQEBAQEBAQEBAQEBAQEBAQEBAQEBAQEBAQEBAQEBAQEBAQEBAQEBAQEBAQEB&#10;AQEBAQEBAQEBAQEBAQEBAf/AABEIAY8CDAMBEQ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7+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QkAEkgAAkknAAHJJJ4AA6mgDE/wCE&#10;n8NZx/wkOh5zjH9rWGc9MY+0ZzntQAf8JP4a/wChh0P/AMG1h/8AJFAB/wAJP4aHXxDoY/7i1h/8&#10;kUAJ/wAJR4Z/6GLQv/Bvp/8A8kUAH/CU+Gf+hi0L/wAG9h/8kUAA8UeGjwPEWhE+g1fT/wD5IoAX&#10;/hJ/DX/Qw6H/AODaw/8Akjj60AIfFHhoDJ8Q6H/4NrD/AOSKANO0vbLUIftFhd2t7BuZPPtLiK5h&#10;3rjcnmQu6blyNy7sjIyBmgC1QAUAFABQAUAFABQAUAFABQAUAFABQAUAFABQAUAFABQAUAFABQAU&#10;AFABQAUAFABQAUAFABQAUAFABQAUAFABQAUAFABQAUAFABQAUAFABQAUAFABQAUAFABQAUAFABQA&#10;UANdElR45EWSORWSRHUMjo4KsjqwIZWUkMpBBBIIwaAPzb/bp/Zt/Z20b9kf9oTXNI+AvwY0vWrL&#10;4d61eWeraf8AC/wRZ6la3YaEi6tr630OO5guAWY+fHKsmSTuyaAPyK+KHwd+ENtr3weS3+E/wxt0&#10;u/i3Fa3SW/gDwlCl1aHwB8Qp/stysekKJ7cz29vOYJQ8XnwQy7d8UbKAfXX7KHwE+BWsftPQaZq3&#10;wV+Eeo6b/wAKZ8XXn9n3vw28G3NkbyHxZ4Niiujay6K0BuIoppYo5ynmpHLKisFkYEA/WU/sqfsv&#10;/wDRuPwI46H/AIVH4A4z/wBy/wDp3oA4n4f/ALJP7LtjoN/AnwT+AfigP43+Jl4dTh+EvgJ0tn1H&#10;4j+K9Qk8OsW0i6Il8IPdN4TnQSoqT6JIiW1mirZwAHz1+3p+zZ+zroP7I3xs1fQ/gJ8F9H1Wy8O6&#10;fJZ6npfwu8D2F/aSN4k0WJntru10OK4gdo3eMtFIrFHZSdrEEA/LPxh8Gvg9Drfw0SL4S/C+JLnx&#10;rPDcJH8PvCKLcQjwT4wnEU6ro4EsQmiimEcgZBLFHIBvRWAB9kfsj/s//AbWfjvNYav8EfhDqdkv&#10;wk8aXYs774aeCrm2F1D4x+GUMNz5EuiNF58UNzcRRTbPMjjuJkRgssgYA/ZPwh4H8F/D7Rx4e8Be&#10;EfDHgnQFuZ7xdD8I6DpfhzSFvLrYbm7Gm6Pa2dkLm48tPPnEPmy7E8x22jAB1FABQAUAFABQAUAF&#10;ABQAUAFABQAUAFABQAUAFABQAUAFABQAUAFABQAUAFABQAUAFABQAUAFABQAUAFABQAUAFABQAUA&#10;FABQAUAFABQAUAFABQAUAFABQAUAFABQAUAJk+h/T/GgAyfQ/p/jQAZPof0/xoA+Qv2+if8AhjP9&#10;o3g/8ky1v09YPegD8aPiuT/wkPwW4P8AyWKH0/6J38R/egD7M/Y+J/4ast+D/wAkR8Z+n/Q4eCPe&#10;gD9iM/7J/T/GgDjvAt9rGoaJfT63pUekXsfjH4iWMNpDbG0SbSNM+IHifTfD+qGJ3YvLrmgWmm61&#10;PdA7b2fUJL1FVLhVAB8x/wDBQon/AIY1+OvB/wCRa030/wChn0L3oA/JHxoT/bvwt4P/ACPNx6f9&#10;CJ4096APtz9jQn/hoGfg/wDJHPHHp/0O3wr96AP1goAKAEz6c/THH5kUAGT6H9P8aADJ9D+n+NAB&#10;k+h/T/GgAyfQ/p/jQAZPof0/xoAMn0P6f40AGT6H9P8AGgAyfQ/p/jQAZPof0/xoAMn0P6f40AGT&#10;6H9P8aADJ9D+n+NABk+h/T/GgAyfQ/p/jQAZPof0/wAaADJ9D+n+NABk+h/T/GgAyfQ/p/jQAZPo&#10;f0/xoAMn0P6f40AGT6H9P8aADJ9D+n+NABk+h/T/ABoAMn0P6f40AGT6H9P8aADJ9D+n+NABk+h/&#10;T/GgAyfQ/p/jQAZPof0/xoAMn0P6f40AGT6H9P8AGgAyfQ/p/jQAZPof0/xoAMn0P6f40AGT6H9P&#10;8aADJ9D+n+NABk+h/T/GgAyfQ/p/jQAZPof0/wAaADJ9D+n+NABk+h/T/GgAyfQ/p/jQAZPof0/x&#10;oAMn0P6f40AGT6H9P8aADJ9D+n+NABk+h/T/ABoAMn0P6f40AGT6H9P8aADJ9D+n+NAC0AIen/1s&#10;/pQA3A9B/wB8GgAwPQf98GgAwPQf98GgD5C/b6A/4Yz/AGjeB/yTLW/4D6wUAfjR8VwP+Eh+C3A/&#10;5LFD/Af+id/EegD7M/Y+A/4ast+B/wAkR8Z/wH/ocPBFAH7DkA+30QjNAHKeC9R0zVNHvLnStR1P&#10;VbWLxZ4906W61dGN3FqWj+OfEek6zpsOYoP+JXo2sWN9o+hjYwGi2OngTXAAnkAPl7/goUB/wxr8&#10;deB/yLWm/wAB/wChn0KgD8kfGgH9u/C3gf8AI83H8B/6ETxpQB9ufsaAf8NBT8D/AJI544/gI/5n&#10;b4V9zQB+sVABQAUAFACZA6kD8aADI9R+YoAMj1H5igAyPUfmKADI9R+YoAMj1H5igAyPUfmKADI9&#10;R+YoAMj1H5igAyPUfmKAAkH+ID6EUAN47BcDpxuJ9+D0+v40AGB6D/vg0AGB6D/vg0AGB6D/AL4N&#10;ABgeg/74NABgeg/74NABgeg/74NABgeg/wC+DQAYHoP++DQAYHoP++DQAYHoP++DQAYHoP8Avg0A&#10;GB6D/vg0AGB6D/vg0AGB6D/vg0AGB6D/AL4NABgeg/74NABgeg/74NABgeg/74NABgeg/wC+DQAY&#10;HoP++DQAYHoP++DQAYHoP++DQAYHoP8Avg0AGB6D/vg0AGB6D/vg0AGB6D/vg0AGB6D/AL4NABge&#10;g/74NABgeg/74NABgeg/74NABgeg/wC+DQAYHoP++DQAYHoP++DQAYHoP++DQAYHoP8Avg0AGB6D&#10;/vg0AGB6D/vg0AOHT/62P0oAD0/+vj9aAG5HqP8Avs0AGR6j/vs0AGR6j/vs0AfIX7fRH/DGf7Rv&#10;I/5Jlrf8Z9YKAPxo+K5H/CQ/Bbkf8lih/jP/AETv4j0AfZn7HxH/AA1Zb8j/AJIj4z/jP/Q4eCKA&#10;P2IJHqP++2P9KAOc8K2UNhpdzBDolt4fSTxH4xvTYW2oC/jnl1Lxdrmoz6206KojuPEs11J4ju7I&#10;gtpt1qs2nOzvas7AHyr/AMFCiP8AhjX468j/AJFrTf4z/wBDPoVAH5I+NCP7d+FvI/5Hm4/jP/Qi&#10;eNKAPbv2WPjz4b8Lftv+Bvg1f+Evijc658Rvhj8QdH0bxXp3w+8Q3fwz0+7tbfSPiJIuu/EE28fh&#10;vTmbR/h5rFglst3cX/8Abuo+H9Oe0QaotxCAfufn6/kf8KAFoAKAEJHPIz7n+dADRgdwfUluevQd&#10;f50APoAKACgAoAKACgAoAKACgAoAQ8+35/0IoAMfXP1Yf1NACHAGTkfRmP8AhQAn149i5BoAMj1H&#10;/fZoAMj1H/fZoAMj1H/fZoAMj1H/AH2aADI9R/32aADI9R/32aADI9R/32aADI9R/wB9mgAyPUf9&#10;9mgAyPUf99mgAyPUf99mgAyPUf8AfZoAMj1H/fZoAMj1H/fZoAMj1H/fZoAMj1H/AH2aADI9R/32&#10;aADI9R/32aADI9R/32aADI9R/wB9mgAyPUf99mgAyPUf99mgAyPUf99mgAyPUf8AfZoAMj1H/fZo&#10;AMj1H/fZoAMj1H/fZoAMj1H/AH2aADI9R/32aADI9R/32aADI9R/32aADI9R/wB9mgAyPUf99mgA&#10;yPUf99mgBw6f/Xz+tAC0AJg+p/T/AAoAMH1P6f4UAGD6n9P8KAPkL9voH/hjP9o3k/8AJMtb9PWD&#10;2oA/Gj4rg/8ACQ/Bbk/8lih9P+id/Ef2oA+zP2Pgf+GrLfk/8kR8Z+n/AEOHgj2oA/YjB/vH8h/h&#10;QBwXw30uLSPD2o2kOtW2upL49+KuqG9syWigl1v4oeMNan0Zy7yn7V4dnv5PD98oYKt7plwqRxIF&#10;iQA+b/8AgoUD/wAMa/HXk/8AItab6f8AQz6F7UAfkj40B/t34W8n/kebj0/6ETxp7UAfYn7I9jq9&#10;1+0dos+na4dKs9N+Gnj691+x/s20vv8AhJNJk1bwRp0Oi/aZysuj+Rrt/oviL+0bISXMv9gf2Q6C&#10;z1W7dAD9eKACgBPoR79/04oAWgAoAKACgBAO5wT/AC9h7fzoABxx27eo9vp6Ht0PagBaACgAoAKA&#10;CgAoAKACgBuDnJ5PYdh/j+n4cYAAA+p9zxk/XrgegHQfoALg+p/T/CgAwfU/p/hQAYPqf0/woAMH&#10;1P6f4UAGD6n9P8KADB9T+n+FABg+p/T/AAoAMH1P6f4UAGD6n9P8KADB9T+n+FABg+p/T/CgAwfU&#10;/p/hQAYPqf0/woAMH1P6f4UAGD6n9P8ACgAwfU/p/hQAYPqf0/woAMH1P6f4UAGD6n9P8KADB9T+&#10;n+FABg+p/T/CgAwfU/p/hQAYPqf0/wAKADB9T+n+FABg+p/T/CgAwfU/p/hQAYPqf0/woAMH1P6f&#10;4UAGD6n9P8KADB9T+n+FABg+p/T/AAoAMH1P6f4UAGD6n9P8KADB9T+n+FAC0AFABQAUAFAHyF+3&#10;1/yZn+0b/wBky1v+cFAH40fFf/kYfgt/2WKH/wBV38R6APsz9j7/AJOst/8AsiPjP/1MPBFAH7Dn&#10;3xgDPfOQc/lQBx3gTUdd1TRL668RaeumahH4y+IunW9stnLYCXQtI+IPifSfC2oGCZ3d21fwzZaR&#10;qrXgIi1Fr06hAkcF1HGoB8yf8FCv+TNfjr/2LWm/+pPoVAH5I+NP+Q78Lf8Asebj/wBQTxpQB9uf&#10;saf8nAz/APZHPHH/AKm3wroA/V+gAoAKACgAoAKACgAoAKACgAoAKACgAoAKACgAoAKACgAoAKAC&#10;gAoAKACgAoAKACgAoAKACgAoAKACgAoAKACgAoAKACgAoAKACgAoAKACgAoAKACgAoAKACgAoAKA&#10;CgAoAKACgD5C/b6/5Mz/AGjf+yZa3/OCgD8Z/iwQPEPwVGRk/GOEAE4J/wCLd/EgnA7nAJx6A9MU&#10;AfZv7H3/ACdZb/8AZEfGf/qYeCKAP2HIzwcYx75zn+VAHK+DNTstW0e8utP1XUdYgi8V+PNMku9U&#10;jSO5hvdF8c+ItH1LSolSKFTp2hajYXWiaRIUZ5dJ0+ylkluJHaeQA+Xf+ChX/Jmvx1/7FrTf/Un0&#10;KgD8kfGhA134W5IGfHNxjPf/AIoTxof5An6AmgD7c/Y0/wCTgZ/+yOeOP/U2+FdAH6v0AFABQAUA&#10;FABQAUAFABQAUAFABQAUAFABQAUAFABQAUAFABQAUAFABQAUAFABQAUAFABQAUAFABQAUAFABQAU&#10;AFABQAUAFABQAUAFABQAUAFABQAUAFABQAUAFABQAUAFABQAUAeMftEfCy7+N3wP+J/wlsNXt9Av&#10;fH3hLUvDtprN3ay3trp1xeKphubm0hlgmngSRF82OKaORkJ2MGxQB/PF+1H/AME9/wBonwD+1Z+z&#10;v+1R49/ac0XXPhL4R8X6p4G8Kfs6eE/BWqaNpFtr/jH4beM7e98ca54lvvEN2+u63EbO6jtGn0mG&#10;PT9OuhYWUcTNeXd4Affn7H3/ACdZb/8AZEfGf/qYeCKAP2HI79D0z7Z/KgDm/Cdm1hpd1A2g2/hs&#10;v4l8Z3g061uoruK4XUfGGu6gmvNLD8iXHipLpfFF5an97ZXesT2c+Z4JKAPlf/goV/yZr8df+xa0&#10;3/1J9CoA/Dv9pj9lr4k/th6b8Jfg18Ivjde/s7/ER/jD4e8a+GvirYaPJr8uh3fgfw54s12S0l0e&#10;PUNNXULPWIIJNNvrS5uHsrqzuJra8trm2mkiYA/aD9lj9lv4n/BfxHp/iz4n/ELwf45122+Gtx4K&#10;1K/8KeGdT8NQ61rWpan4T1PVvELabe6lqMGlW9xceGC9vpNrNcJb/wBoNELho7ZN4B940AFABQAU&#10;AFABQAUAFABQAUAFABQAUAFABQAUAFABQAUAFABQAUAFABQAUAFABQAUAFABQAUAFABQAUAFABQA&#10;UAFABQAUAFABQAUAFABQAUAFABQAUAFABQAUAFABQAUAFABQAUAFAH57f8FFP+RD+Cf/AGX3Qf8A&#10;1APiNQB4B+x9/wAnWW//AGRHxn/6mHgigD9h8Drjtj8OtAHDfDvSoNH8P6haW+tW+vRzeOvihqrX&#10;1q/mRwT678TPF2t3Wiu3my4ufDdzqE3h28TcPKu9Lnj8qDZ5MYB82f8ABQr/AJM1+Ov/AGLWm/8A&#10;qT6FQB8N/Ar/AJOE+B3/AGNfiD/1XHjWgD9saACgAoAKACgAoAKACgAoAKACgAoAKACgAoAKACgA&#10;oAKACgAoAKACgAoAKACgAoAKACgAoAKACgAoAKACgAoAKACgAoAKACgAoAKACgAoAKACgAoAKACg&#10;AoAKACgAoAKACgAoAKACgAoA/Pb/AIKKf8iH8E/+y+6D/wCoB8RqAPAP2Pv+TrLf/siPjP8A9TDw&#10;RQB+w5PI5Hfjjn0+nNAHFfD/AFDWtT0G/udf08aZfR+NviXp8FstjJp4k0XSfiP4r0rw3qHkSANI&#10;dW8O2el6q18B5eptenUoiYrtCQD5o/4KFf8AJmvx1/7FrTf/AFJ9CoA+G/gV/wAnCfA7/sa/EH/q&#10;uPGtAH7Y0AFABQAUAFABQAUAFABQAUAFABQAUAFABQAUAFABQAUAFABQAUAFABQAUAFABQAUAFAB&#10;QAUAFABQAUAFABQAUAFABQAUAFABQAUAFABQAUAFABQAUAFABQAUAFABQAUAFABQAUAFABQB+e3/&#10;AAUU/wCRD+Cf/ZfdB/8AUA+I1AHgH7H3/J1lv/2RHxn/AOph4IoA/YigDk/Bmqafq+j3l3pmo6rq&#10;ltD4s8e6XLc6zs+1xahofjnxFour6dD5cMC/2VpGq6fe6ToWUZ/7EstP8ya4k3XEoB8vf8FCv+TN&#10;fjr/ANi1pv8A6k+hUAfDfwK/5OE+B3/Y1+IP/VceNaAP2xoAKACgAoAKACgAoAKACgAoAKACgAoA&#10;KACgAoAKACgAoAKACgAoAKACgAoAKACgAoAKACgAoAKACgAoAKACgAoAKACgAoAKACgAoAKACgAo&#10;AKACgAoAKACgAoAKACgAoAKACgAoAKACgD89v+Cin/Ih/BP/ALL7oP8A6gHxGoA8A/Y+/wCTrLf/&#10;ALIj4z/9TDwRQB+xFAHOeFbCLTtMureHRItASTxH4xvzYw3S3iXEmq+Ltc1SbW2mUkJL4lmvJPEc&#10;9ofmsJ9VksXAe3YUAfKv/BQr/kzX46/9i1pv/qT6FQB8N/Ar/k4T4Hf9jX4g/wDVceNaAP2xoAKA&#10;CgAoAKACgAoAKACgAoAKACgAoAKACgAoAKACgAoAKACgAoAKACgAoAKACgAoAKACgAoAKACgAoAK&#10;ACgAoAKACgAoAKACgAoAKACgAoAKACgAoAKACgAoAKACgAoADx6ficUAN3f7v/fX/wBagA3f7v8A&#10;31/9agA3f7v/AH1/9agA3f7v/fX/ANagD89v+Cijf8UH8E/u/wDJfdB/i/6kD4je1AHgH7Hzf8ZW&#10;W/3f+SI+M/4v+pw8Ee1AH7Ebv93/AL6/+tQBxfgLSotE0O+s4ddt/EKTeNPiRq5v4JFdLeXxB8RP&#10;FOvT6GxW4uwJvDE+pSeGrhTKjJPpMiPbWTq1nAAfM3/BQpv+MNfjr93/AJFrTf4v+pn0L2oA+G/g&#10;U3/GQnwO+7/yNfiD+L/qnHjX2oA/bHd/u/8AfX/1qADd/u/99f8A1qADd/u/99f/AFqADd/u/wDf&#10;X/1qADd/u/8AfX/1qADd/u/99f8A1qADd/u/99f/AFqADd/u/wDfX/1qADd/u/8AfX/1qADd/u/9&#10;9f8A1qADd/u/99f/AFqADd/u/wDfX/1qADd/u/8AfX/1qADd/u/99f8A1qADd/u/99f/AFqADd/u&#10;/wDfX/1qADd/u/8AfX/1qADd/u/99f8A1qADd/u/99f/AFqADd/u/wDfX/1qADd/u/8AfX/1qADd&#10;/u/99f8A1qADd/u/99f/AFqADd/u/wDfX/1qADd/u/8AfX/1qADd/u/99f8A1qADd/u/99f/AFqA&#10;Dd/u/wDfX/1qADd/u/8AfX/1qADd/u/99f8A1qADd/u/99f/AFqADd/u/wDfX/1qADd/u/8AfX/1&#10;qADd/u/99f8A1qADd/u/99f/AFqADd/u/wDfX/1qADd/u/8AfX/1qADd/u/99f8A1qADd/u/99f/&#10;AFqADd/u/wDfX/1qADd/u/8AfX/1qADd/u/99f8A1qADd/u/99f/AFqADd/u/wDfX/1qADd/u/8A&#10;fX/1qADd/u/99f8A1qADd/u/99f/AFqADd/u/wDfX/1qADd/u/8AfX/1qADd/u/99f8A1qADd/u/&#10;99f/AFqADd/u/wDfX/1qADd/u/8AfX/1qADd/u/99f8A1qAHDn0/A5oAD+P4Yz+vFADef9r/AMco&#10;AOf9r/xygA5/2v8AxygA5/2v/HKAPz2/4KKZ/wCED+Cf3v8Akvug/wBz/oQPiNQB4B+x9n/hqy3+&#10;9/yRHxn/AHP+hw8EUAfsRz/tf+OUAcV4B1K/1XQr+61DR4tDni8a/EnTY7K2tDZxz2Oj/EXxTpGm&#10;aw0MgDPP4h02xtNfursDy7+61Oa+iJiuEJAPmf8A4KFZ/wCGNfjr97/kWtN/uf8AQz6FQB8N/ArP&#10;/DQnwO+9/wAjX4g/uf8AROPGtAH7Y8/7X/jlABz/ALX/AI5QAc/7X/jlABz/ALX/AI5QAc/7X/jl&#10;ABz/ALX/AI5QAc/7X/jlABz/ALX/AI5QAc/7X/jlABz/ALX/AI5QAc/7X/jlABz/ALX/AI5QAc/7&#10;X/jlABz/ALX/AI5QAc/7X/jlABz/ALX/AI5QAc/7X/jlABz/ALX/AI5QAc/7X/jlABz/ALX/AI5Q&#10;Ac/7X/jlABz/ALX/AI5QAc/7X/jlABz/ALX/AI5QAc/7X/jlABz/ALX/AI5QAc/7X/jlABz/ALX/&#10;AI5QAc/7X/jlABz/ALX/AI5QAc/7X/jlABz/ALX/AI5QAc/7X/jlABz/ALX/AI5QAc/7X/jlABz/&#10;ALX/AI5QAc/7X/jlABz/ALX/AI5QAc/7X/jlABz/ALX/AI5QAc/7X/jlABz/ALX/AI5QAc/7X/jl&#10;ABz/ALX/AI5QAc/7X/jlABz/ALX/AI5QAc/7X/jlABz/ALX/AI5QAc/7X/jlABz/ALX/AI5QAc/7&#10;X/jlABz/ALX/AI5QAc/7X/jlABz/ALX/AI5QA4fj+OM/pxQAh6f/AFs/pQA3A9B/3waADA9B/wB8&#10;GgAwPQf98GgAwPQf98GgD89v+CigH/CB/BPgf8l90H+A/wDQgfEagDwD9j4D/hqy34H/ACRHxn/A&#10;f+hw8EUAfsORweB+CEH86AOZ8I39hqWlXVxp2sXmu28fifxtYSXt/CI54L/SvGevaXqmixqttZg2&#10;XhzU7O78Paa/lO0unaXayPdXzu17cAHyz/wUKA/4Y1+OvA/5FrTf4D/0M+hUAfDfwKA/4aE+B3A/&#10;5GvxB/Af+iceNaAP2xwPQf8AfBoAMD0H/fBoAMD0H/fBoAMD0H/fBoAMD0H/AHwaADA9B/3waADA&#10;9B/3waADA9B/3waADA9B/wB8GgAwPQf98GgAwPQf98GgAwPQf98GgAwPQf8AfBoAMD0H/fBoAMD0&#10;H/fBoAMD0H/fBoAMD0H/AHwaADA9B/3waADA9B/3waADA9B/3waADA9B/wB8GgAwPQf98GgAwPQf&#10;98GgAwPQf98GgAwPQf8AfBoAMD0H/fBoAMD0H/fBoAMD0H/fBoAMD0H/AHwaADA9B/3waADA9B/3&#10;waADA9B/3waADA9B/wB8GgAwPQf98GgAwPQf98GgAwPQf98GgAwPQf8AfBoAMD0H/fBoAMD0H/fB&#10;oAMD0H/fBoAMD0H/AHwaADA9B/3waADA9B/3waADA9B/3waADA9B/wB8GgAwPQf98GgAwPQf98Gg&#10;AwPQf98GgAwPQf8AfBoAMD0H/fBoAMD0H/fBoAMD0H/fBoAMD0H/AHwaADA9B/3waAHDp/8AWx+l&#10;AC0AJge/5n/GgAwPf8z/AI0AGB7/AJn/ABoAMD3/ADP+NAH57f8ABRQD/hA/gn1/5L7oPc/9CB8R&#10;vegDwD9j4D/hqy36/wDJEfGfc/8AQ4eCPegD9iMD1P8A30fX69+lAHM+E9OttM0u6trXQpPDsUni&#10;bxpqDae979uNxcat4x17VbzXRMs84RPFF3eT+Jo7MuraemrrYNDbNbG3iAPlj/goUB/wxr8dev8A&#10;yLWm9z/0M+he9AHw38CgP+GhPgd1/wCRr8Qdz/0Tjxr70Aftjge/5n/GgAwPf8z/AI0AGB7/AJn/&#10;ABoAMD3/ADP+NABge/5n/GgAwPf8z/jQAYHv+Z/xoAMD3/M/40AGB7/mf8aADA9/zP8AjQAYHv8A&#10;mf8AGgAwPf8AM/40AGB7/mf8aADA9/zP+NABge/5n/GgAwPf8z/jQAYHv+Z/xoAMD3/M/wCNABge&#10;/wCZ/wAaADA9/wAz/jQAYHv+Z/xoAMD3/M/40AGB7/mf8aADA9/zP+NABge/5n/GgAwPf8z/AI0A&#10;GB7/AJn/ABoAMD3/ADP+NABge/5n/GgAwPf8z/jQAYHv+Z/xoAMD3/M/40AGB7/mf8aADA9/zP8A&#10;jQAYHv8Amf8AGgAwPf8AM/40AGB7/mf8aADA9/zP+NABge/5n/GgAwPf8z/jQAYHv+Z/xoAMD3/M&#10;/wCNABge/wCZ/wAaADA9/wAz/jQAYHv+Z/xoAMD3/M/40AGB7/mf8aADA9/zP+NABge/5n/GgAwP&#10;f8z/AI0AGB7/AJn/ABoAMD3/ADP+NABge/5n/GgAwPf8z/jQAtABQAUAFABQAUAfnt/wUU/5EP4J&#10;/wDZfdB/9QD4jUAeAfsff8nWW/8A2RHxn/6mHgigD9hycD16fz4oA4f4d6XPpGgaha3GsW+uSTeO&#10;fifqi3ttcPdRwQa58S/FutW2jvJI7slz4ettQi0C8tgQlnd6ZPaRpHHAiKAfNf8AwUK/5M1+Ov8A&#10;2LWm/wDqT6FQB8N/Ar/k4T4Hf9jX4g/9Vx41oA/bGgAoAKACgAoAKACgAoAKACgAoAKACgAoAKAC&#10;gAoAKACgAoAKACgAoAKACgAoAKACgAoAKACgAoAKACgAoAKACgAoAKACgAoAKACgAoAKACgAoAKA&#10;CgAoAKACgAoAKACgAoAKACgAoAKAPz2/4KKf8iH8E/8Asvug/wDqAfEagDwD9j7/AJOst/8AsiPj&#10;P/1MPBFAH7DkA+vHcdaAOJ+H+oalqeg39zqukRaJdReNviXp0VnDYTaak+m6R8R/Fek6Nq7W9x+8&#10;km8QaRZWOvXF+v7nVbjUpdUtv9HvIqAPmn/goV/yZr8df+xa03/1J9CoA+G/gV/ycJ8Dv+xr8Qf+&#10;q48a0AftjQAUAFABQAUAFABQAUAFABQAUAFABQAUAFABQAUAFABQAUAFABQAUAFABQAUAFABQAUA&#10;FABQAUAFABQAUAFABQAUAFABQAUAFABQAUAFABQAUAFABQAUAFABQAUAFABQAUAFABQAUAFAH57f&#10;8FFP+RD+Cf8A2X3Qf/UA+I1AHgH7H3/J1lv/ANkR8Z/+ph4IoA/Yf3zxj9fXNAHLeDtRtdU0i7ub&#10;TWrvX4o/FXjrT2vr23itpoLnSPG3iHSr3RUjhgt0a08N3llP4d0+4MbS3dhpVtdTz3U00lzMAfLn&#10;/BQr/kzX46/9i1pv/qT6FQB8N/Ar/k4T4Hf9jX4g/wDVceNaAP2xoAarb93ysoVmUFhjdt4LKM52&#10;7sqCQN2CygoVZgB1ABQAUAFABQAUAFABQAUAFABQAUAFABQAUAFABQAUAFABQAUAFABQAUAFABQA&#10;UAFABQAUAFABQAUAFABQAUAFABQAUAFABQAUAFABQAUAFABQAUAFABQAUAFABQAUAFABQAUAFAH5&#10;7f8ABRT/AJEP4J/9l90H/wBQD4jUAeAfsff8nWW//ZEfGf8A6mHgigD9hz9M5IH4d8/hQBzXhLTI&#10;9J0q6tYtEXw+svibxrqRsFvY78Tyaz4x17WJdb8+JnWNvEst8/iNrIkSaa2qnTpVSW1dFAPlj/go&#10;V/yZr8df+xa03/1J9CoA+G/gV/ycJ8Dv+xr8Qf8AquPGtAH7VzIGHzuFhUM0qngOAAQHbPEQG4yL&#10;j5xhWPl70cAmoAKACgBCM/y/Pr6UANzjg5x7Z46Y/Djr37jOaAHA847nnPY/Tk/55oACM49RyP8A&#10;Pp60AIO/TPcA+nGevcdOB2B9aAF9x1/njPHt1/A9fSgBaACgAoAKAEORyPxHc/5/WgBQc8igAoAK&#10;ACgAoAKACgAoAKACgAoAKACgAoAKACgAoAKACgAoAKACgAoAKACgAoAKACgAoAKACgAoAKACgAoA&#10;KACgAoAKACgAoAKACgAoAKAPz2/4KKf8iH8FP+y+6D/6gHxGoA8A/Y+/5Ost/wDsiPjP/wBTDwRQ&#10;B+xFAHE/D/TpNL0G/tpddt/ETS+N/iZqI1C2u3vY7ePWPiP4r1aHQmmeSVkuPC8N7H4Zu7QMEsLr&#10;SJrGOOGO3WJAD5o/4KFf8ma/HX/sWtN/9SfQqAPhH4F31kP2iPgdCby1Ev8Awl2vR+UbiISeY3w6&#10;8aIqbN+7ezsFVcbixCgEkCgD9t3jV2QsSQh3BONjOCCrMMZYoQSgJ2hjvILKjKASUAFABQAHn/P+&#10;NADQCPQg9QfwxjjoAOB29TQAvTPf8sn69BQAhIPUEd+qgg/if50ANAHrg+uV6/mSc9x064oAk/ya&#10;AEH69PY9wf1/mOcUALQAUAFABQAnv+fX9Pf6df1AAoOaACgAoAKACgAoAKACgAoAKACgAoAKACgA&#10;oAKACgAoAKACgAoAKACgAoAKACgAoAKACgAoAKACgAoAKACgAoAKACgAoAKACgAoAKACgD4n/bx0&#10;qwvvhF4Zvbu3E11ovxY8C32lTGSRDaXd3Nf6HcyoiOqSGXStW1C0KzLKirctIirOkUsYB8sfslRx&#10;xftM+HbhFCz3Xwt+JVnO+4ky21trPw6uYIypJVRHPNJIGUK5LYZmXAAB+vxJHuMduuc/yoA8g+E3&#10;irXPEd/8XtO1fQrfRLPwZ8X9f8K+HDbWFxp6axoZ8O+EvEr65L5wEd7dX+u+JdcFzqFoBb3M8Dli&#10;10ty7AHG/theHtO8Ufsv/HHSNUE5s2+Huu6gRby+TL9o0WAa1ZfvNr/uxe6fbmVNv7yIPHld24AH&#10;4ufDT9mr4A+Mv2hvgtq3iv4Q+BPEGo+LfH2qnxHdapoVtcy6s9z8MfH2pSy3bPzJIbywtZgzZw0Y&#10;PJwQAf0a55PXj9fpQAUAFABQAUAFABQAYHpQAUAH+f8AP8/rQAUAFABQAUAFABQAmOSfX8vrQAtA&#10;BQAUAFABQAUAFABQAUAFABQAUAFABQAUAFABQAUAFABQAUAFABQAUAFABQAUAFABQAUAFABQAUAF&#10;ABQAUAFABQAUAFABQAUAFAHxf+34TF+zZr9+/wAltpXjX4Wahd3I4+yWkfxG8NQzXLsPmVB56xMU&#10;+YrKVwQxoA+DPgZqVvpP7VP7O8l1dCzi1jVviR4btWZ3RL7VL34V+K9YtNLwn+tkntfD2oX8ccg8&#10;v/iWNKSJIo6AP3BG7A5B9T7e2PagDgPBer2d7rnxG0mLxhdeKL/w/wCMY7fUdOudLj08eCxqfhjw&#10;9q9h4VtbiGxtI9WtUsbyHXU1Fpr+58zW5bOe7BtUtrcA539oiwTU/gJ8aLKSRokl+FvjxjIgUsvk&#10;eGdTuBgN8vzGIKc9ASRzQB+M/h7xHe+CPiT8Adf0yK1uLu0+PHwk8LiO/SV7ZrD4j+JrX4Ta3cOs&#10;E1vKLmz8P+OdVvtLcTCGHWLWwmu4byyiubG5AP37oAKACgAoAKACgAoAKACgAoAKACgAoAKACgAo&#10;AKACgAoAKACgAoAKACgAoAKACgAoAKACgAoAKACgAoAKACgAoAKACgAoAKACgAoAKACgAoAKACgA&#10;oAKACgAoAKACgAoAKACgAoAKACgD58/as8DL8Rv2dPi/4UCXktzN4L1LW9LgsFZ7q517wiYvF3h6&#10;0SJI5ZLiO613Q9Ot7i1iTzrq3llt4WSWRXUA/Hnwx4s8K6Z4w+Bnxek1O1n0Hwj8SvBXi/Sddtbj&#10;7VpZ0fxnZX/w91DWC9mlwuoWEngr4h67cWj26yKZZLS+hLmFAQD+ggEEZHToPT8MdvSgDg9C0aw0&#10;bxp44ubDwtPpv/CTHQfEOseJlvY5rPxHrcGnL4e8oWRuHns77S9I0bSredzBDb3Vu1q0bSSxTYAO&#10;t1bTLPWtL1LRtQhW40/V7C80y/gdVZJrK/tpbW6idHVkdZIJXRlZWVgxDKRkUAfzk3Oial4S8Bav&#10;4TvLi48T+I/hJe6r4eh1HbdHUNW8SfBvxFcW/h7Xyjy3t5JqGoX/AIW0jxEsEs19PPPci2upbx3m&#10;aUA/oe8EeKrLxz4M8J+NNNBXT/FnhzRfEdmjZ3Jba1p1vqMUbbgrB40uAjhlVgykMqkEAA6igAoA&#10;KACgAoAKACgAoAKACgAoAKACgAoAKACgAoAKACgAoAKACgAoAKACgAoAKACgAoAKACgAoAKACgAo&#10;AKACgAoAKACgAoAKACgAoAKACgAoAKACgAoAKACgAoAKACgAoAKACgAoAr3VtDeW1zZ3CLLb3cE1&#10;vPG4DJJDPG0UkbKeCrIzKQeCCRQB/OMvhaws/B3jX4V6Ih3eAL/xr8KrSwk8uOTS73wbfX+ieH7R&#10;kjMQiS2sbfRLuyidbcGwls3aKKKUIAD98Pgj8QNN+K3wc+FnxM0jeNN8e/D/AMI+LbOOUlpYYtd0&#10;Kx1DyJHMUHmSQPO8LyCGJZGjLrGisAAC94j07W4/HfgDxLYa1pVjodpb+KvDHifStVvLm3bVLfxJ&#10;b6VfaJPoMMf+i3PiOx8QeHNPtYUvGRf7D1bxALcvdtbxsAehHPbr/nrQB+Hnxp8MaZ4H/aP+N3h6&#10;zlnFx4i1fw/8WDa3DPIRZ+PtHGnveQTFVhFtP4k8H+J7aO0jJltPsW+dQl1bSzgH3b+wV8Qr3xf8&#10;DU8H63aNaeIfgx4m1n4WXbYIi1Tw/ozQ6h8P9ehLTTSs2qeAdV8Of2jJILcS69bay9taW9ibVKAP&#10;tegAoAKACgAoAKACgAoAKACgAoAKACgAoAKACgAoAKACgAoAKACgAoAKACgAoAKACgAoAKACgAoA&#10;KACgAoAKACgAoAKACgAoAKACgAoAKACgAoAKACgAoAKACgAoAKACgAoAKACgAoAKAPxT/aM8E6P8&#10;Pf2nPiZb6VKILf4q6V4W+MLaY4ghSHxBdWcngHxc2lQQxQhrGd/Bfh3xBqc0pubxvEXinVLi5uvI&#10;u7G3twD7R/YM8V3Os/CHX/CmoW8VtffDv4j+MdCRYphJ9o0fXr//AITrQ7sxiKIWoex8VC2S2USI&#10;i2gKytuKRgH1L8RX1e28G6/q/h3SNL13xJ4e0+68Q+HtJ1axe+t7/WdGgkvrSygSO6spba/vxFJp&#10;+n6jFcBtPu7uK8aK7ihktJwDpdJ1S01vStL1rTzM9hq+n2eqWT3FtdWNw1pf20d3bNPZX0Nte2kz&#10;QyoZbW7t4Lq3fdFcQxSo6KAfnx+3v4JW3Hw0+MVvJbWqaBqV18PPFk0tsiibw/40kt59AnudQBQw&#10;fYPGWmaXp2ni6d7fz/FF1bwrHPfkyAHi/wCyN44TwJ+0CNAv77UF0L4z+Gn0C3tnQSaVY+PPBP2v&#10;XNCnEmFNlJ4k8M3nijT7mWaSSO4vdB8OWVpBHcXdxJKAfsBQAUAFABQAUAFABQAUAFABQAUAFABQ&#10;AUAFABQAUAFABQAUAFABQAUAFABQAUAFABQAUAFABQAUAFABQAUAFABQAUAFABQAUAFABQAUAFAB&#10;QAUAFABQAUAFABQAUAFABQAUAFABQAUAFAH5+/t9eD5x4W8CfF2xTS0T4feI20PxlcXixQXI8C+P&#10;Da6O1za3zRnYdF8ZQ+EtRuYp5IrZNEbX5xKkyrHOAfPH7JniqLwR+0faWLxXwsfjJ4Qm8IXksdx/&#10;xLIvEvgZ9S8V+FZprMsiLfXmjX/jWwkvlSa4uYoNLtWaKCwTeAfsTQB594V8RaUniTxP8PZ/Flz4&#10;g8YeHktPFeo2eoWcFle6f4Z8Z6lrjeGlgNpaWlne6bavo+qaNbXMfnXinSsam5uJY5rgAi+LvgC1&#10;+Kfwx8d/Dy7eCJPF/hfWNEgubmISxWGoXdpIul6oFMcrLNpWpC01G2mjjae3uLWKeDbNHGwAPwbs&#10;NQ8SrZWN/bXQtPiX8MfFdtNqNnA8litr8SfhzrKHVfDupRMIri30zU9V064025AES33hzVU1DT5p&#10;tPvrO5nAP3u+GXxC8P8AxV8CeG/H/hiR20nxHp6XaW07RG90y8jd7fU9F1JIJZoodU0bUYbrTNSg&#10;SV1ivbWZFd1CsQDvKACgAoAKACgAoAKACgAoAKACgAoAKACgAoAKACgAoAKACgAoAKACgAoAKACg&#10;AoAKACgAoAKACgAoAKACgAoAKACgAoAKACgAoAKACgAoAKACgAoAKACgAoAKACgAoAKACgAoAKAC&#10;gDi/iN4F0X4m+BPFvgDxFAtxo3i7QdR0O9RlDGNL63eKO5jB4E1pOYrqBuds0MbY4oA/n5lh8cQe&#10;Hbdf7Si8N/GL4W+IraR9Q0j/AEu10v4pfC7XNtyIbeZZvtfh/W9U0eeCSzu4pV1XwjrjRSJNHegu&#10;Af0CfDbxxpPxL8A+EPH2hzx3Gl+LfD2ma5atEyuE+3Wsc01sxB4mtLgy2k8bYeKeGSOQK6MAAM1T&#10;wro9t4stPiLY+Gv7T8aLpdp4Kk1GC/8AsNwnhHUNesr7UEuEnnjsr230iVZdZihkikvSYri2050l&#10;vXSUA7g5yPTv/wDW/r7UAfln+2x8K4/BPizTvjloVr5egeMrzSfCXxNgiFtbWema6yy2nhHxzKfL&#10;V5ptWuGsvBOs7n3O8nhm5V1W0ulmAOe/Y++K3/Cs/iXP8LtZuBbeA/itdXWqeGpZmtLfTfD3xQVY&#10;3v8AS0dtkyn4jWYe+t4smBvEmi3hRP7R8RObgA/W6gAoAKACgAoAKACgAoAKACgAoAKACgAoAaWw&#10;cfifp/X39ueeaADdg4Y/Q460ALkZx3/n9KAAnAzjNACbs5xyfTpkev8An6GgBdwwDzz0HegAJA6n&#10;rQAtABQAUAJke/5H/CgAz9fTof8AD9elABkeo/MUAIXUepyVHyqzHLMFHCgnAJyzfdVcuxCAsAB1&#10;ABkHoaACgAoAKACgAoAKACgAoAKACgAoAKACgAoAKACgAoAKACgAoAKACgAoAKACgAoAKACgAoAK&#10;APyC/a2+HJ+HHxp/4TCxtraHwl8bF+1yfZbCWF9P+Jvh3T4bfV01C5iLWksfi7wzbWGpaa7w291H&#10;qHhnxD9qur3+0tOhsgD1D9hf4iPo+t+Mfglq91cNaXkmpfEn4dG8ntWhW3v72D/hPvDOlorrcqun&#10;a/f2/itLaaI7x4q1OSzmltrC6h08A/SO+s4NRsrvT7pDJa31tPZ3KB3jZ7e5ieGZVdCrozRuwDqw&#10;ZSdykEA0AedfC7Trrwj4d0/4b6z4rg8Ta34N0u1tLS6ur9rzxRd+Do57vTfCeseKTPsuLnWbux0x&#10;7TVNXESWur6rYX95FskeWGIA6jxl4T0Tx14V8Q+DfElnHqGheJ9Gv9E1S2kRH3Wt/bvA8ke9XEdx&#10;AXE9rOq+ZbXMUVxEyyxowAPwk8a/D3WfBWua/wDCD4g/ap9d8Ox2tzpfiHbHHceItAa5nTwn8QtI&#10;voLdLOz1s3Omm5nWzEd94d8TafJJ9mtYW0ua5AP1R/ZX+PkvxY0C+8L+LpoIPid4MCQ6xGsX2VPF&#10;Ph/McWk+NtNgCiDyr0Otjr1rauy6V4gguYjDbWN5pX2gA+saACgAoAKACgAoAKACgAoAKACgAoAa&#10;7Kis7sqIilndyFVVUEszMSAqqASSSAACScUAef8Aw98fQ/ETT9Z1zTdJvrLQrbxJf6L4d1O9KrF4&#10;s0nTobJT4s0pfKRTompX8t/BpNxFPeRX9hYQakkkb3j2VsAegZJyOCe3HB9R1PI54/GgAGCOnTjv&#10;kfj19P5UAOBB6UAN+UEcc8kde/X/AAx9OKAAkD5gMk9x/X/PbmgBpKxq8srqiorO7uwVERQSzMxI&#10;VVVQSzEgKAeQATQBJQAUAFADWJHIwR3/AM5oAjLsfb6UAOHPO5sfXoff2PY/nQA8jOeT/n/Pv+WQ&#10;QCruNuxZyWgYkszHLW5JySSck25Jy2SfsxOcm0ObUAt0AFABQAUAFABQAUAFABQAUAFABQAUAFAB&#10;QAUAFABQAUAFABQAUAFABQAUAFABQAUAFABQAUAeLftA/CKz+N3wu8QeBZdRutE1iT7JrfhLxDYO&#10;I7zw/wCL9BuF1Lw/qiZzHcWgvYVs9Y025D2OtaFeapomoxT6dqN3BIAfinpGt+KfD914X8e2GlTa&#10;T8Q/hl4in1U6HqNqDdxa/wCGrnUfD3jTwbNsuFFu2tQReIfCU13FPPDbm9S+Ed9HAsEwB+9fgnxj&#10;oXxC8I+GfHHhm6e70DxXo1hr2kTywy2s7WWo20dxFHdWswWa1u4d5hu7SdVmtbmOW3lUSRsKAMvx&#10;zNq/h/Tb3xh4S8Lad4j8RafFYR6lp5Q2uua74Wsrua41DSNF1KGCaVtXtYrq81HQNOvEfTb/AFQH&#10;S5pdKGqyazYAHZafexajY2d/AlzHDe20N1FHe2tzY3kcc8ayrHdWV5HDdWlwgYLNb3MUc8MgaOVF&#10;dSAAfO/7SvwBtvjb4Ys7nRriz0T4k+EDdXvgnxHPbpJG4uEU6n4T1l9rTSeGPEwt7WLUo03SWN7a&#10;abrlmv2/SrbIB+SHh3xR4m8Oa/ZeLfC/meGviP8AD/Wb2xutH1fyYrjT9YtV+zeIPA/i2G2N6F07&#10;U4GSDUYIXuEI/szXdNklms9LuwAftD8FvjX4R+Nvhca34fmFjrWnNHZ+LvCF5cQvrvhHWGDk2Opw&#10;RkM1rdCN7rRtUSNbLWdNaK+s2KtJHEAexUAFABQAUAFABQAUAFABQAUAFAHz942fUviz4jl+Gfh+&#10;8ubHwToF1bN8XNchW5gi1yG4hdv+FVaVeQyWdw1xqlnMl74t1HTbxRo2mvYaVObmXWbyygAPd4ba&#10;C0toLKxggtLa1hitre2to44ILa3gRUhtoIYgkcEUcYSOJI0CRRhVRVAXABICckcnkg9RnB/A5yOD&#10;34x15AHZzgg89v8AaHofQ88/mOOQALnPI69CP8f6H8++ABfvY9Ovuf8AD3PX8OSAKTj0/E4A9vr7&#10;en4ZAGknsVH45/oKAGoNiogYFUUIN8jyOQoABaSQvI7YHzO7M7HJYliTQA/d/u/99f8A1qADd/u/&#10;99f/AFqADd/u/wDfX/1qAE49Ex9f64/pQAoAI6AdencZ9cZwevFADQSM7iMnGFBHy+wHp9Mk+lAD&#10;wOmev+ByP88+mT3AEVAu0L8qKoRY1ChFAwBgBcjaBtABCgfw9MADsf5yaACgAoAKACgAoAKACgAo&#10;AKACgAoAKACgAoAKACgAoAKACgAoAKACgAoAKACgAoAKACgAoAQjPfH0/wA8UAfk1+158Iz8NPH1&#10;78XdJtwngj4n6tYReL2gEnl+HPiEbSy0mw1i7ElwYYNK8aWlpbWFzcQwQRWviSwszcCefxI88IA3&#10;9lH43T/CjxLB8MPFd+n/AAq/xlrD/wDCI6hdm5kl8D+N9d1Ce5uNHvtQuLmZI/CPiy/uguiI8dvb&#10;eGte/wCJXHK2n67plrpYB+s/PHbkZz6d/wDP8qAOI8Q63D4Km1HxZ4k8RXUPhBrbSrKSwfSIprLw&#10;9di5uluteuNUsbY31vpdxDNarqc2qtJp2kpZm+N1a28s4QA7gHPqPr1oA+Gv2nv2ZJfFkt98VPhd&#10;ZQxfEGC3ibxN4ZST7LYfEXTrPptzm2svGtjamVdJ1UxRjXAltoWuXUdqmn6hpAB+ePgjxn4h8D+J&#10;4PiH8O7tdJ8U2MzaPr2malBcWtvr1npd7NBqvgfxtp48u5ilsrr7dbQPdRPqPhPWi95awllurO7A&#10;P2Q+C/xu8HfG3w2NY8PTix1rTxHbeK/B9/PEPEHhTVDvR7XUbQFZZLG4kimk0bWo4hp2uWKpe2Ej&#10;xsyRgHsQJPUY/HNAC0AFABQAUAFABQAUAFAHkHxJ8Z65b3dj8Pfh5Hb3nxH8S2wuobi5e2/svwR4&#10;YF7DZar4615JxKbmPT0kmj8OaFDbXE/ifxDHb6ZJ9h0ePW9c0cA7bwZ4Q0nwP4esfD2kCaSK2DTX&#10;uoXknn6nreq3J83U9d1i7ID3mr6vdmS91C6fmW4lbaqRqkaAHThFHQDOSSe5J7n396AFJA5OOOnT&#10;PvjNACdeQev0/wAPw5/pigBce5P+fQYH6UALQA0DHQZHb1HtyRx79fXtQAuT6H9P8aADJ9D+n+NA&#10;DCHJ7j2BH+NACYf3/P8A+vQAYf3/AD/+vQA9d3Qj8eP1/wA//XAF6dBx6DHH544/l9OgAv4EfXH9&#10;CaACgAoAKACgAoAKACgAoAKACgAoAKACgAoAKACgAoAKACgAoAKACgAoAKACgAP+eCf0FADcn1/8&#10;cb/GgAyfX/xxv8aADJ9f/HG/xoAMn1/8cb/GgAyfX/xxv8aADJ9f/HG/xoAMn1/8cb/GgDA8U+GN&#10;B8aeHtY8K+KNMtdZ8P6/YXGm6tpl7bia3u7S5Qo6srA7ZYztlt502zW1xHFcQPHNFG6gH4a/Ej4a&#10;6h8LvGeufBvxj9p1qzGnPqfhLXr2C8ki8YeA7mZrSzurjUWAik8U6FMF0nxTAk0d2l8llr8EUNlr&#10;dkUAP0H/AGOfjzqXjXTtQ+Evj29luvHvgLTbC40jX73mbx/4JllubGx1l528lb3xRob2cVl43jtL&#10;aK3gm1HQ9TREj1yOKEA+2ry1tdQtLqwvreC8sr23ntLy0uYBPbXVrcxNDcW1xDIGjmgnhd4pYpFZ&#10;JI2ZGUqSKAOb0u1bww/h7wpo2g3b+GrbSrqBNWOpR3CaKLAwLp+m3MN/cnVbqO7hkkjtLi3+1LbC&#10;08m5EKNE5AOsyf8AKN/jQB8UftG/sr/8J9fXHxE+Fw0zRviXK1quvafqVzdWPhvx7p9tGLdU1RoL&#10;a+GleI7G2/5BWv2lnvu/Kh0zXDPp4t59OAPzMguNc0TxPcXGl6h4j+GPxR8KyXGn3l1ZQjSvFehS&#10;o9zava3dtq1hPZ67oFzL5k9muoadqvhnWovs2qWK3UTW1yAD9Efgd+2Za6xf6X4D+Niab4X8VXvm&#10;WuieOrKKSz8DeLp4DGkNrefaLi4bwh4mvY2MiaXqF1JpOozpLFoupvcPFpiAH3yDkZByDyCFbBHr&#10;1oAMn1/8cb/GgAyfX/xxv8aADJ9f/HG/xoAMn1/8cb/GgAyfX/xxv8aADJ9f/HG/xoA4rx742tPA&#10;2hf2pLbPqepX19ZaJ4c0G3kSG+8Q+ItUkMWm6RZGUkB5Nst1dz7ZBY6ZaX2oyxtBZy0AZPw18DXX&#10;hSy1TV/EV9Frfj3xlew63411yNLj7LJfpaRWtnoehxXMssmn+FvDlpGun6Hp0ZjjOb3WLmI6xrOr&#10;XNyAel5Pr/443+NABk+v/jjf40AIRnqT/wB8tQAgGOhP02tigB2T6/8Ajjf40AGT6/8Ajjf40AGT&#10;6/8Ajjf40AGT6/8Ajjf40AGT6/8Ajjf40AGT6/8Ajjf40AGT6/8Ajjf40AGT6/8Ajjf40AGT6/8A&#10;jjf40AGT6/8Ajjf40AGT6/8Ajjf40AGT6/8Ajjf40AGT6/8Ajjf40AGT6/8Ajjf40AGT6/8Ajjf4&#10;0AGT6/8Ajjf40AGT6/8Ajjf40AGT6/8Ajjf40AGT6/8Ajjf40AGT6/8Ajjf40AGT6/8Ajjf40AGT&#10;6/8Ajjf40AGT6/8Ajjf40AGT6/8Ajjf40AGT6/8Ajjf40AGT6/8Ajjf40AGT6/8Ajjf40AGT6/8A&#10;jjf40AGT6/8Ajjf40AGT6/8Ajjf40AGT6/8Ajjf40AGT6/8Ajjf40AGT6/8Ajjf40AGT6/8Ajjf4&#10;0AGT6/8Ajjf40AOH+eCP0NACHp/9fH60ANyPUf8AfZoAMj1H/fZoAMj1H/fZoAMj1H/fZoAMj1H/&#10;AH2aADI9R/32aADI9R/32aADI9R/32aAPCP2g/gnpvxv8CSaKJrbTPGGhXD674A8TyKzyaB4kit5&#10;YFEpQGSTRtZtJZ9G8QWe2VLrS7yZliN3b2csIB+QbxeLPB/iwHGqeAPih4A1NvLmZUa/0a9ZCoZC&#10;R9k1/wALa9aHkBpNK8QaVMR+6uYwbMA/Vn9nj9orTPjLYT6HrNivhz4k6BYRXOvaEZt9hq1orRW0&#10;viXwnclme90KW7lhjuLecR6nolxd21lqkCfaLK5vAD6YZUdWRwjK6lGVmJVlYEMrAjBUgkEHgg4N&#10;AHlWg6dN8KdN8QDXfE9m/wAM9Fto9Q0O/wBcvbttY8JWAeQX2janqNws0d/4d0uIQS6Xq17drf2N&#10;m01jfia2sYL1gD1SOSOWNJY5EkjkVZI5El3I8bgMjoy5DKykFWBIYEEdaAPEvjP8APAfxu02CLxD&#10;DcaR4k0zc/h7xx4fkisfFOhyGOVGgjvjE66lo05l33/h3VUvNE1B44Jbqye4tbWeAA/KX4u/B3x/&#10;8Gft1p8QtDl8VeA1t7h/+Fm6Fo9xe+Fn0qCK233HjnSolvJ/BV2ryTtfNeLd+F0gt/t0evQxySWV&#10;kAL8NvjF8WfhF9kk+H/jKTxF4Qje9vv+FceNNRutc8M3i3UZlt9P8O+JZhqPiLwNp3nhI7GHSG1b&#10;w5odq4TTfCUlpBHp7gH6F/DT9tT4Q+Nrmz0TxddS/CHxdfahp+j6fonxCvrHTtM8Qa1qUbPaaZ4Q&#10;8WrP/wAI94lvrlklW10uC6ttenEUj/2MnlTCIA+u45YpUWSKSOWNwCkkcu9GB6FWTKkH1Bx70APy&#10;PUf99mgAyPUf99mgAyPUf99mgDF8SeI9D8IeH9a8U+JNTs9H8P8Ah3S77Wda1W/uktrPT9M063ku&#10;ry7uZ5WSOOKGCJ3ZmYDAxnJFAHlPgLQ9c8XeJH+LnjfTrrR52s5dO+HHgrVGie88EeH7pQmoazqi&#10;wSS20fjHxiqRTX4QyT6BoQtPDi3AnfXftQB7hkeo/wC+zQAZHqP++zQAZHqP++zQAZHqP++zQAZH&#10;qP8Avs0AGR6j/vs0AGR6j/vs0AGR6j/vs0AGR6j/AL7NABkeo/77NABkeo/77NABkeo/77NABkeo&#10;/wC+zQAZHqP++zQAZHqP++zQAZHqP++zQAZHqP8Avs0AGR6j/vs0AGR6j/vs0AGR6j/vs0AGR6j/&#10;AL7NABkeo/77NABkeo/77NABkeo/77NABkeo/wC+zQAZHqP++zQAZHqP++zQAZHqP++zQAZHqP8A&#10;vs0AGR6j/vs0AGR6j/vs0AGR6j/vs0AGR6j/AL7NABkeo/77NABkeo/77NABkeo/77NABkeo/wC+&#10;zQAZHqP++zQAZHqP++zQAZHqP++zQA4dP/r5/WgBT+P4Yz+vFADef9r/AMcoAOf9r/xygA5/2v8A&#10;xygA5/2v/HKADn/a/wDHKADn/a/8coAOf9r/AMcoAOf9r/xygA5/2v8AxygD5q/aJ/Z8034x6GNW&#10;0YWukfE/w7YXa+EfEM+6O1vFYNMfDHib7OGlu/Dmo3KoWby5rrRrorqmmr5yT292Afkzbz+LfC/i&#10;qG5hOr/D74pfD3VnDRTQAXmjaijtDd2dzDdQra+IvCHiGGCSAzRLJpniPRZFv9Lu4LlLK/swD9cP&#10;2f8A9oTQPjNoiWV7JZaF8S9Gsom8YeChcRGe3kUQxvruhI8sk+p+EtQlmQ6dqa7nt3kOmaolpq1t&#10;c2kYB9FEHPQ4752Z9v1oA831rRPHFl4ssPEnhXXm1DR7+fTdN8VeCtfliGlQabHJLHL4g8J30Fsb&#10;3Stcto5/MvtOunvdK1yG2giij0i9SS+ugDtNK1zSdcW/fSdQgvxpWp3ejakLeRHax1Wx8s3dhdIQ&#10;HhuYFlid4nUMY5YpVzHIjMAaTKsqMjr5kbqySI6oyOjAhkZW4ZWUkMCCCCQQQaAPh74pfsO+Cdfu&#10;bzxJ8JNUn+E3iac61f3miafZWV/8N/FWs6jHHJb3HiDw1NF9s0V7a6id473wLqnhpn+23MmsWPiB&#10;ILC1tgD89vG/gH4m/Di2Gn/Gb4aahpdqbG4m1TxLoNrJ44+Fs0doA9w58R2lkZtMtXhxcC38Z6L4&#10;duNqXSpFdW9m95IAZ/w68W+KfAtlp+rfBP4l654Y0a61AeILaw0vVIfFXw91oTMiXcE3hbWZdT0I&#10;abqCW/2a7l8NnQtWiCk2Gr6fdQxzRgH1V4O/bt+L2k6k2nfEn4QeHvF2jfaUSDxT8M/FkWia5JYK&#10;khmmuvBHjdLfSk1BpDAsVrB8QksSi3Msl7A3kW7gHu+k/t+/Ay51KLS/EmnfFDwFPPDLNFdeKPAN&#10;/e6LiEfvIp/Efgmfxf4ds7gyERW9te6rbz3r/NYx3MP72gD0ef8AbH/ZYs3SLVPj98LtCuJI1mjs&#10;/Eni3SfDWoSQuWVLiPT9em069ktndJI0uUgaB5opoUkaSGVUAF8NeIvD/wC0b4gg8TeG9b03xJ8G&#10;PAOtwSaFqeialY6lpPxB+I+h3l0LvUEvdL1K4trvwv4Duo7H+zEmgK6v4u+03yiOz8N6fPqoB9Kc&#10;/wC1/wCO0AHP+1/45QAc/wC1/wCOUAHP+1/45QAc/wC1/wCOUAHP+1/45QAc/wC1/wCOUAHP+1/4&#10;5QAc/wC1/wCOUAHP+1/45QAc/wC1/wCOUAHP+1/45QAc/wC1/wCOUAHP+1/45QAc/wC1/wCOUAHP&#10;+1/45QAc/wC1/wCOUAHP+1/45QAc/wC1/wCOUAHP+1/45QAc/wC1/wCOUAHP+1/45QAc/wC1/wCO&#10;UAHP+1/45QAc/wC1/wCOUAHP+1/45QAc/wC1/wCOUAHP+1/45QAc/wC1/wCOUAHP+1/45QAc/wC1&#10;/wCOUAHP+1/45QAc/wC1/wCOUAHP+1/45QAc/wC1/wCOUAHP+1/45QAc/wC1/wCOUAHP+1/45QAc&#10;/wC1/wCOUAHP+1/45QAc/wC1/wCOUAOH4/jjP6cUAFACYHoPyFABgeg/IUAGB6D8hQAYHoPyFABg&#10;eg/IUAGB6D8hQAYHoPyFABgeg/IUAGB6D8hQAbV9B+VAHzd+0N+z1pPxm0eLUtKmsvD3xJ0C2uF8&#10;MeJpLYvb3kb4mPhnxOLbZdXvhu/uIo9xVpLrRbhm1PTEab7RbXgB+SOs6H4o8H+MbfQPGGm6t8OP&#10;il4VddW0q50rVhBqAtlmaBPEXg3xHpzp/bHhbVXhkhljkSMXEAbTPFWhWV0sunIAffPwM/bFt2bS&#10;PA3x2vNP0jW53t9K0X4mCKHS/C/im7b7Na2Nr4jQyG08LeK9VuJRBCqtFoGuakTFpK6ZcXVpoigH&#10;6CKUdVdCrKwDKy4KspAIII4IIwQR26UAct4w8MXHifRLnS9M8Ta94L1CSUXNp4h8Lvp8ep2d2kUk&#10;ccrQanYalpmoQAuHmstRsbq1uDHEJo2CCgCK0vNd0OLQtO19F17Gl30niHxpZW1joek2dxpsMUi3&#10;N7o9zq95d2q6nGZnH2Ga/t7eaCQy/ZbeWIRgGzouu6H4k0621fw9quma3pN5GstrqWk3ltqFlOjq&#10;rq8dxaySRMNjKxw2QGGQKANVo0dSjqrKwIZSoKspBBVgQQysCQQRgjg0AfMnxF/ZA+BXxDvp9ebw&#10;p/whXiya3vIT4r+Hdw3hHU55r0l2vdWsdMRNA8S3sU5E0Nz4m0fWJYiGiRxbyzxSAHy9f/sB+P8A&#10;SLSeLwl8eNP8REzr9mX4mfDq2fUYbVTtVH1vwHrvhSxmkWMB53l8JSPdXBd4pbCHbbqAeSan+y5+&#10;09oGm3tzdeBPBvjC6szdSRW3gLxzEJ9TtYgzWwsbbxppXhRIdUuVTD2N5qEVjBLIkQ1iaMPcgA+c&#10;fiRp/wAffCHgrxLr9v8AsZ/tF+O/E+iaVNPb+APDfhvwdqera3cgqi6Zp2vW/jG58MT/ACStPLNa&#10;avdjyI5ks4ry/wDKsZgD6T/4JPfFjx54V/Y60vU/2tvg1qX7J3xP8UfED4neJj8Fb74c+PdAj8Ge&#10;E9Pu7Gw0OzVr7QWttVvD4f0+w1TUbzSJXs57nUCttbWjZsoAD9OLX49fBS81KHRovif4JTWZ5pbd&#10;NHu9dsbDV1uILS11CeCbTL6S2vreaGxvbO8kiuIInS1uredlEU0bMAd4PFfhZvMC+IvD7GIyeYBr&#10;OmkxiJFlkL4uPk8uN0kkDY2I6u2FYEgGzDc2lwkckE9vOkqq8TwyxSJIjKGVo2RmDqysGVlJBUgg&#10;4INAE+B6D8hQAYHoPyFABgeg/IUAGB6D8hQAYHoPyFABgeg/IUAGB6D8hQAYHoPyFABgeg/IUAGB&#10;6D8hQAYHoPyFABgeg/IUAGB6D8hQAYHoPyFABgeg/IUAGB6D8hQAYHoPyFABgeg/IUAGB6D8hQAY&#10;HoPyFABgeg/IUAGB6D8hQAYHoPyFABgeg/IUAGB6D8hQAYHoPyFABgeg/IUAGB6D8hQAYHoPyFAB&#10;geg/IUAGB6D8hQAYHoPyFABgeg/IUAGB6D8hQAYHoPyFABgeg/IUAGB6D8hQAYHoPyFAC0AFABQA&#10;UAFABQAUAFABQAUAFABQAUAeQfGj4IeB/jr4Wj8NeMbe+gm06/g1nw34j0S+udK8Q+GddtFkW11P&#10;S9Qs5YndAsssF/pV6LnR9YspZ7DVrC8tJnioA/I34s/C/wAVfB7Wv+EV+I9lbal4f1ueWz8N+N7a&#10;1mk8LeKIJ3dbbS9W8+1S18P+KpItsU/h67mmttQkBm0G91CN5rWxAPQfgz+018RPgbpNl4T1DSJP&#10;il8MNIgistE0yG9t9N+Ifg/TRdhYtP0i/wBQeHRvFeg6Lp7i303SNYudH1m1sbSOCLXtWkW3snAP&#10;06+F3xr+Gvxi06S/8CeJ7HUri1eWLVNAuS2m+KtCnhlaGSHXPDd8IdW03LqWt7ia1FnfwNFd6fc3&#10;dnNDcSAHqrYwQwBUjBBGQQeCCO4PQigDhE+Hnh/S5vFWpeDrKy8FeI/F8em/2v4g0PTrIS3lzpLT&#10;mwvbzTpo20y8uo47q4tZ7ma2F3dWkiQS3JW2szbgC6trfjnS/EOl21r4MsNf8I31xZ2N5rmm+J1g&#10;8SaPLPFM02p3/hfUtFstNn0K1lijiuJ9M8V3msqbmJ4dAngS5ltwC1H488JJp1xquoazb+H9Pt9f&#10;u/DMlz4pEvheOTW7S6ls2s7ZtfTThefaZoXOnT2hnttThAnsJbiI76AOrt7i3vIIrm1nhura4jSW&#10;C4t5EmgnikUPHLDLGWjlikQhkkRmR1IKkg5oAmJA6/5xQAgIPQ+9AC8e3p/9agCjc6bpt4ssd3p9&#10;ldJcq6Tpc2kE6zo6CN0mWWNhIrxgIyuCGQBSCABQBkS+DPCE2/zPCvhyQuJVffoumnes6JFOH/0b&#10;5hNFHHHKDnzEjRHyqqAAeZ6z+zZ8Ctcl1K8ufhj4bsNV1ZtRlu/EPhuC48I+LI7jVrW2stRvdO8W&#10;+FbjRvE2j6jd2lnaW0upaPq1hfiG3ijS5VUUAAxLn9mnwzAZ/wDhFPiJ8c/AsN4NWk1C38PfGDxh&#10;qkd9e6rZ21kL9m8c3njGezuNNitY30mDSptP060uHnuWsZp5pHYA6Oy+GnjnS3V7H44ePLuKH7Ut&#10;pZ+INI8Ea1Akc9na2tsl7OnhzTtU1BrCSCa8inm1JJ57u7lN7JcwJFAgBrX3hz4qmSQ6X8StHiSS&#10;O7MY1TwHbXjW8skEEdmI2stc04SRW06T3EyzK8lx54iEsKRKSAZFra/tD2l+Z7rWPg1rulRSan5e&#10;mR+HfG3hfVLy3MNuNFjm8QHxN4ss7C4juRdSarcx+Fr+K4heCKzs7No5JZQDpX1L4sIJtvg34fTk&#10;faDb4+JHiO2MgWGBrZZQfhXcCJppzcxysryLBFHBKgnaaSK3AORT4m/EyGS7/tP9nrx1BZWsmopH&#10;d6d4u+GOsTXqWkFtJZTWthb+MIbvZqss1xb2y3EcEts9o0l/HbRTQM4Bux/E+7jhuJNS+GXxN042&#10;73gCLoVhqrTwWccEn2mJtF1jUAVufOZLWBit3K9vOPs64jMgBkaj8fvAejC4k1yx+IekW1vJewNd&#10;XPws+Ilzbyy2FrBeTiBtL8NahLMHt582zxxlLqSG4gtmkngeMAG5Y/Gv4T3tvLcP498PaOIJtRgm&#10;tvFV4fB2pRnSfL/tCVtK8WJo2qfZLdZoZTffZPsUkE0VxFcSQSpIwB0Vp8QfAWoPNHYeN/CF7Jbm&#10;UTpaeJdGuXgMHlGcTLDeuYzCJoTKHCmPzYt+PMTIB0kN/YXKLLb3tpPG5ZUkhuYZUZlbawV0dlYq&#10;3ysASQ3BwaALWQMnPTrQAuR0zz6UAFABQAUAHSgA60AFABQAUAFABQAUAFABQAUAFABQAUAFABQA&#10;UAFABQAUAFABQAUAFABQAUAFABQAUAFABQAUAFABQAUAFAGL4i8O6H4t0XUvDniXS7LW9C1i1kst&#10;U0rUYEubK+tZRiSGeGQFWBwGVhh43CyRsrqrAA/On4m/sNav4ftLjVvgH4hudQWJtQuH+GvxG1qW&#10;6sJftFzHdQW3hXxzJZXuvaOtqpvLa20/xMfEmnNFJp9rbXmgWdg5uAD4f1jTL3QfGcGleINK8UfD&#10;H4p6RBfppMtyV8PeNLSyha2uL688L6/pN3d2Wt6MJDaXFzdeH9W1nQ3kVFvS0sLxIAfW3w5/bM+K&#10;3hC5i0/4o6NF8VvDZubjPiTwzBovhv4hafZC1LWn27Qri50XwZ4omF2hjvLrTbzwbILWUS2miX13&#10;AtrdgH238Mv2ofgd8WrjS9L8KeObGDxPq8d3JZeCPFFveeD/ABzKLAuL5U8JeJYNM1qcWip5s0tp&#10;a3Fv9neC6jme1uIJpAD38EHkUAZ2raRpOv6be6NrumadrWkalbzWeo6Vq1lbajpt/aXEbRXFre2N&#10;5FNa3VtPE7xzQTxPHJGzI6lWIIBk2Pg3wzpMOkW2jaNZaFa+HtEk8N+H7LQoho+n6HoUkdtEmm6T&#10;pmnfZtNsba3js7VLOOC0UWSQRx2vlRgqQDltD+H2u+FvDmraJonxP8b6ndT2zJ4e1Px6+ieM5/Dd&#10;zvkmEhu5NJ0rX/ENtNPIftUPiPxDqV0LYCz0y/0uKODyQC7d2fxRXxbHcWOt+CZPBEk9lJPp97oW&#10;sx+J7a3S3ii1C2t9St9abTLp5riOW7tLqfTbfyEuRZy204tRdXIBD4u1D4saZok0/gnwx4H8VeIT&#10;rdwsOm634r1jwjpi+HC8ptbiTUrfwz4pnfWRGsKXFsmnx2TyvI0VyiIquAa2laz4xuX8OLq/gy30&#10;1dQ0C4v/ABJLa+JbTUV8O6/CLPydAtYzY2j63DdGW92awhsIIhZp5tsDdL5QBU0rxprF9pes6jqX&#10;wz8feG7rSY45YNE1V/AuoapraSiQj+xn8KeOPEukSSI0TJLBqGq6dcRlo3aLypY5GAKUvxW8N2/j&#10;uH4d3Wl+ObXW7i2triDU5/h741XwXM91CJ47GHx8uhv4Ml1JU3edp8euNdQMkiSxqyEUAbeqePvC&#10;mi6VNrWq6obHTINWuNEluprDUSF1K1klimgEUdo87IrwS7blYjauqb0nZGVmAH6b498Eaz/Zn9k+&#10;LfDmo/21oEvivSPses6fP/aXhiCSGKfxDY+XcH7Vo0EtzbxzalDvtI3niV5VMi5ANrSta0fXrCLV&#10;ND1XTta0ydnWDUdJvrXUrGYxuY5PKu7OWa3k8uRWRwkhKOpVgGBFAGnQADn2+tACAg59v85+hoAW&#10;gBMdSOCf8j8vbHvQAYzkHBBGOnXjnI6c+lAHIeJ/h74C8bQQW3jPwT4Q8XW9r9q+zQeJ/DWi6/Db&#10;m9jWG8MEWq2V1HD9qhRIbny1X7REqxy71UAAHMD4GfCBDL9n+HfhaxWaa9uHj0zTIdLiFxqKwrfT&#10;wxad9lit5rnyInllgSN2lQTbhKS5AI9W+CPgDVldTb+JNKMgvxM/h7xv4z8PSzHUlgW6aWXR9es3&#10;d/8ARoTbuW3WjBmtTE0khYAoRfBOzsrxb7SfiV8ZNLmhn1CezhX4h6lrOm2TX8VrF5a6N4oh17Rr&#10;62shaiTT7PV9P1G0tpZ7qTyXM70AdDN4K8XFHW2+L3jaJ3a9bfc6J8MrkxC48v7MkCxeAbNQmn7H&#10;+z+eLiSbzW+2yXJVCoBzzeGvjxb6hLcW3xV8B3+lpc6lLbaVqfwpv4L+a1lNqdJtb7X9N+IcUAns&#10;vLvBfX1p4chTUftEHlafp/2VxcgG4sfxihE5a5+G14xkvjAWtfE1l5cJMP8AZkcqrc3nmuD5/wBu&#10;lUxA/uvIiHz0Ac5c+JP2gLKS9kX4XfD7W7W3OqfZYdM+KGo2OpagIZrdNGKw6r4EjsLJtQga5nv0&#10;n1KVdOeKOGGXUPNMqAGzY+OPiIq3n9t/BbxErx3F6LA+GPGHw+1uK6tLYQfZ5bp/EHiPwZLZXeoN&#10;LKLa1jgvoIltpWvb+1Z4ElAItS+LY0W2lvtX+GnxatbG3bURcT2Pg5fE88Y094kR4tI8Han4i12+&#10;XUjITpw03S715UiledbZFDMALYfG3wPew3U08XjHRPsk9/DJb+Jvh7468OXkqabJBFcXdpZ6x4es&#10;7m8sHkuIxa31tHLa3oEjWks6xSFQC7f/ABo+FukQTXeteNdG0KytmuluL/XpJtE0+3ayERuVm1DV&#10;YbSziaPzo8K84L5byw2x9oBbsPi98KdViM+nfErwHexLNfW7Pb+LdBcLPpkqwalGcX+Q1hM6RXgx&#10;/o0jqkuxmAIB6GGBUMpDKQCpUghgeQQRwQQcgg4I5oAWgAHQdqAEJwR7/wCf17UAKDn1H160AFAB&#10;QAUAFABQAUAFABQAUAFABQAUAFABQAUAFABQAUAFABQAUAFABQAUAFABQAUAcJ8Qfhl4B+KmgXHh&#10;n4g+FtI8T6RcLIEj1C3H2ywnkjaNb/RdUgMOqaHq0Adms9X0e8sdTspcTWl1DKocAHwJ8Sv2GPE+&#10;hQanrHwO8ZLq0MFrA9h8NPiQ9zdLI9pAUls9F+JEU76vYPfeVCsX/CU6X4nRLmWaaXUYIWCxgHxP&#10;478Oap4Uni0T40fDXWPBcrWqX0V34v0ODU/Bkrqf3v8AZPj6wGp+DpNQs5wGjtG1mw8QQk214mm2&#10;/nW0jAHonw5+L/xj+GkWkr4E+Kmpav4Xs7O4itPDHxFW6+J3h24trs+dbyw6td63pfjlTZsSNNa3&#10;8cfYILeUwyWF7bQ2lvAAfQ3gX9v34iRawdN+LXwKsYtHwUg8XfCnxzF4i810iZzJfeEfGGleEL7T&#10;Y5ZWjghS013XXAWeadoQIopQD6O8Lftvfs5+Ir6fSdT8bXHw/wBXt5BFJY/E7QNZ8CW0rsiSKdM8&#10;Sa1Zw+D9ehZZEQXGgeItUgW432TyJfQXFtEAfQ3h34heAfF7xReFPG/hHxNLPam+hh0DxHo+rzSW&#10;QMYN2kNheXEjWymWINMF8tTJGCwLrkA7CgAwPSgAoATAznHNAABj39z1/OgAwMY65655z9fWgCk2&#10;maa+wNp9iwjtZrJA1pbtssrgKLi0TMZ22s4RBNbjEUoRQ6NtGADlLT4Y/DfT7DWtL03wD4N0vTvE&#10;n2Y+ILLS/DWjabb621kWayk1WOxs7cX8ti7M9lLc+ZLaSEvbvG/NAGTqnwe8B6t4z0r4gTWWtWXi&#10;vSZbaWPUNF8X+L9At9QSyga3tLPX9J0XXLDR/Emm26MWj0zXrDUbATYuDbmdVkABsX/geC80r+yb&#10;bxL4y0lP7Wu9XF7pviG5GprJeyzzSWIvr5L2U6XFJOxtbBsxWyRwww7IYUjABbXw5fxT6Y1v4t8R&#10;RwaboV7o0trKdKvF1S5uUtVtNe1Ge70yW5k1jTWt5JIHt5reyuGu7gX1ldKIREAc14W8K/Enw5ou&#10;oadqnxVTxvqTXNo2ja74r8DaRBdWdjFIjXsGrWng/UfCVlrF5dReakN7aRaJDaSGGRrC6SKSGcA0&#10;7+P4or4y06TS7zwDN8PZQn9q2moab4itfGdkUhKyf2fqFvqt3omqfabjEqfadL0g2UIMDfb3P2hQ&#10;DlfE3in436RoialoPwn8KeLNVi8Vaxa3fh+2+JjaRczeC4J7lND1zS7/AFXwhDp8/iTUYVs59Q8N&#10;6hNpun6YZbqOHxLqLW8RugDu9I1/W7vTtLn1fwdq2j6nd+Gk1rU9NS/0XU4tJ1YJD5/hY6hb38cV&#10;9qiSySRw3dtCNJnWB5DfQ7o0cAx4viDJHoWp6/rXgb4h+H4NMms4Tp0nhyLxNrl/9tmjt1l0zRfA&#10;GoeMNSvIbaWVTeOLdDbQeZdSqtpDNNGAPf4o+D4vHUXw2uLnWrbxdcIs1nZ3PhPxXDpt/bnTW1U3&#10;Nl4jfRR4aubdLaK4hklj1cpFqNrdaW5XUreS1UAuax8Sfh94f0+TVdd8b+FdF02LWLzw9JqGra7p&#10;un2Sa9pzyx3+jvc3VzFCupWbwTpcWZcTxNFIHQFGwAbtt4i0G9S2ez1rSrlb3TDrdk0Go2kgu9HU&#10;xBtWttkxM2mq08CtfRhrVTNEDKDImQDZByAfUZ9f170AFABQAmBzx1OT9aAFAxnr1zz/AJ6UAFAE&#10;E9tb3MZhuYIbiFjloZo0liY4x80cishx2yPX1oA5u/8AAfgfVZvtOqeDfCmp3Jhmtzcah4d0i9nN&#10;vcFTcQGa4s5JDDOUTzot2yXYm9W2jABzN78EvhBfxTwyfDTwVbfaftfnz6X4d0zRr2UX8sU9+G1D&#10;SLeyvgL6aCCW9C3AF3LDC9x5jRoVAMSf9n/4eyXLXdnN4+0Vy1/JFb6B8VviZoumW82oy209zNb6&#10;JYeLIdFRzPaxzRKdPaKF5Lryo1W9vFnAOof4ebhIE8cfEGEuLnLR+I1yn2maOYlA9i6qYPK8q3OD&#10;5ULyR87sgA5rUvhl46e8muvD/wAdfHujQlbx7TSr7RfAXiPS4bm5ks5YnuH1LwsuvXVtatb3CRWq&#10;a9a/uL+4iE6mKze2ANOHw78YLWSdovif4TvlkS88uPW/hbcXC28ksyyWDRNonxC8Ou8dpDvguo52&#10;le9JjljmsmRxMAZuqy/tCWEd7Lo9v8IPE7W8d9JYWl2/jHwbLqrrcW76faTXKnxlBo5ezN3BdXuz&#10;VkF0ttcRWgheW2jAMVfHf7QVgt4NW+A2g6o4bVJNN/4Q74tabeRy29rcW8emx6i3inwz4TezvtUt&#10;5ZbgxWseoWlkbWSGW9dpIWcA7qHxz4g8ktd/C3xzDcRwTySw28/g27RpYJY4hBbTnxXbidrgO01s&#10;8iW8bQRuZzbylInAMXXPjPpnhh/K1/wH8YIJHgvLqBdD+Fni7x9HNbWd5aWTsbn4aaf4ztLS4mkv&#10;YZrPTtRnstUvLNbq8t7GS2sL6W2AHR/Hn4VvO1vceJptJaJL6S5m8QeHPFHh6ys1024S0vRf6jrm&#10;i6fp9i0VzIsIF1dQtNIQsAl60AbB+MXwoTzRJ8SfA8ZgE5lEnifR4zGLW5isrgusl4pQQXk8NrKW&#10;wI7iWOJiHkVSAdrpet6NrkMtxourabq8EEz2082mX1rfxQXEePMt5ntZZVinjyN8LlZEz8yigDTo&#10;AKACgAoAKACgAoAKACgAoAKACgAoAKACgAoAKACgAoAKACgAoAq31hZanZ3WnalZ2uoaffW8tre2&#10;N7BFdWl3azoY57e5tp0eGeCaNmSWKVGSRGKspBIoA+RvGf7D/wAEfEV9cax4VtNc+FGsT2LWbN8O&#10;dQg0rw5NIFlEF5d+BdRstV8FSXsRlKyahbaFZ6rcwrFDLqOLaza2APnq9/YG+J+lLfN4b+OWheJA&#10;dp0208c+ADYSwhFJZLjV/Cet2kbvOxw8/wDYUixKqeXbMwfeAeJ67+z7+0t4V0i+uPEfwdh8SvDE&#10;0d2vwp8Z6N40sL2CVvKYWlr4og+H3ie7jeGRBLb/APCLM2RdJIv2eGK4ugD57/4QXw9o6z+INW+C&#10;HivwbeTSvHdXOq/BfxPpN+xmdctPqFl4ZlgdLqTBRWv3aZ1B8ssEyAfCf7R/w58U/HHxn8HvGH7I&#10;37aPjb4TeOPhn8T/AIceHfiT4D+Ff7Qnirwl4Z8Z/DDxH8RtB07xv4Z8ZaB4F11dV0fxNb6bLqce&#10;k3KwabqLPBNol3JB5VtLYAH9ZFv8IrfT1WPR/iJ8WdLhgS4Sxhk8c3niJbLz7e3gRvM8ZW/iWfUm&#10;tmtzc2/9uTaqBc3Fy0wmjl8pQBdX+H/ji4OdD+NPjLSd6XwlW+0DwDrKCS4s7e3s5LYDwtprQixn&#10;ilvtkz3QuZ7mSOVlt0ihQAzrfwh8bLO7aWP4waFqVnFLdtb2er/DazEksL21oljBf3mleINOZ/s9&#10;1Fdz3E1nBZvcx3aQKsBtllkAOjmt/i+nmG31T4bXO5J/K87QvFFj5cggh+yiQp4j1HzkN19oa42i&#10;3YW7Qxx5kV5HAOcl139oO0vpEl+Gnwr1fRre4v8A/T9L+LniWx8QX9jBBbvps9p4a1T4Rro9rqN/&#10;cvdwXOmXnjn7Fp0cNvOuuX5uZYrQA6D/AITHxzH5/wBo+EXiKXyzP9n/ALM8T+ArkzrFBDJGWGo+&#10;JNGEL3MsstvCpMiq1u8lxJbxvCzgGBqPxjutIur231D4R/F4Q6cb37Tf6d4Z07W7Jo7K0tLozWZ0&#10;bXb641FLkXTW9mllbzzT3VrdQCMNGpkANDT/AIy+GLv7Z9s0X4h6L9je6TOr/DfxpELtbSGKe4ks&#10;vsWjX32iNEmjWI4VrmTfFaLPJHKqAC33x2+EmkxXlzrnjbTPDlnpq3T6pf8AieDUfDGnaTHYw21x&#10;eTavqOv2WnWOlW9vDd28ktxqFxbQIJQDJuVwoBr+Gfi58KPGkmqxeDvib8PvFc2h3LWetxeG/GXh&#10;3XJNHu0jSV7XVE0zUbprC5SKSOR4LsRSrG6OyhXUkA7pLyzlCmO6tZQ2dpSeJw2AM7SrHPBGcdiM&#10;9aAJw6McBlYggEAgkHtnGcH60AOoATIzjPNAC5Hr06+1ABQBSv8ATtO1W3NpqdhZalaMyu1tf2sF&#10;5bs8ZyjmG4SSIsh5ViuVPIINAFF/Dfh57mO9fQtIa8i0i48PxXR02zNxFoV5JDNdaMk3k+YmlXMt&#10;tbyz2CsLWWSCF3iZokKgGFpfw08AaJpt7o+j+ENB0rTNRu7C+v7HTrCG0t7u70y4jutPuJ0gWMSS&#10;2lxDFLCzco6AjpQBk3Xwk8I3nxDtfifNefEFfFFlGkUNpb/Fz4sWfgd1S0mslNx8L7TxtB8Mr2Ty&#10;ZnZ5bzwhPLJciK9kdr2CG4jANDUfBWoXekR6Tp3xB8e6BLHq97qr61p134a1DWJ476a7nOkyS+Kf&#10;C/iKyXSLRrpUsoLexhubaG0tIFuzEkqTAFyXQPEkYhFh411Am28M3ekRnVdI0W+N1rsnk/Y/FOpP&#10;Z2ml+bd2vluJdMsU07TLoTyEwQlY9gBzHg7w78YdF0nVofF3xK8M+N9aubvTpNHvx8Pz4Z0/TLKG&#10;Qf2pbXOn6Z4muJtRnvIS32W4N9bLZzLGzw3UW+JgDpnX4gjxSrRS+D/+EIwm6GS21s+LC32YCTbc&#10;LdDSMfbMlM2xItcK2ZctQBlX3iD4labo7XZ+HOma5rT67qdrFo/hrxzavbr4eiuJ10fWLrVfE+h+&#10;FVi1G9s0t5dS0W2s72LS7yaW1tdX1e3gW/mAOhfW9VgjjkufCesFV8OtrV01ndaLeiDVIkVpPDEM&#10;SanHfXurMS4t7mCyOkT7ADqMcjpGQDhvC/xak8QaPf6zqPwz+K3g9LLVdM0tNN8T+FYY9Wv21WeC&#10;3S+sLHSNT1d5NMspJw+pXkjRJZQxzTyjyoncAHW/8J94b/4SkeDd2uf26XKBf+ER8Xf2RuFqb3/k&#10;Zf7D/wCEax5AOG/tfaZsWoJuiISAYHin43/BzwLoVt4m8e/FHwF4B8O32r32gWWtePfFOjeCdNvd&#10;Z06S5ivdMtLvxTd6TDdXkDWlyxhgaRnigknjDwL5lAHeaVr+ha5Yafqmia1pOr6Zq2mwazpWo6Xq&#10;Nnf2Op6Rcxxy22q6fd2s0sF5ptxFLFJBfW8klrLHJG8crK6kgGik8Eql4popEDbS0ciOoY4+UspI&#10;B5HBPcetAEuRjPagAoATIyR3FAC8H3FACZAHbA/SgDMvdF0XU5BLqOk6ZqEqw+Sst9YWt1IsBkWU&#10;xB7iGRhEZUSQxghfMVX27lBAB4l8IbDTrL4i/tDQabouj6Ha6Z498K6HawaFp91pdpd2x+GXg/xl&#10;cajf2zWttpd1rV1r/jfXhe6tpX2kXdpFptnqFydQ02eC3APoGgAoAKACgAoAKACgAoAKACgAoAKA&#10;CgAoAKACgAoAKACgAoAKACgAoAKACgAoAKAMHUPC3hnVrmwvNU8O6Dqd3pdwbvTrrUNI0+9udPu9&#10;yuLmxnubeWW0uA6I/nW7xyblVt2VGADeoAKACgAoAKACgBAMZ5Jz69vpQADI6+px9Pf3oAayK6sk&#10;gWRGGGVlBUg9QVIIIPvQBh6l4U8Ma0EXWvDug6wI0njjGqaPp+oCNLlVS5RBd28wRLhERJ1XAmVF&#10;WQMFAABy+qfB/wCFms2d7Y6h8PfB7w6gl0l09toGm6feOL1YUu2j1HTre11C3luUt4Ennt7qKaVI&#10;Y1eRlRQADmZv2ePhS0l7JaaFqekvqMl5Nfvoni7xfo73kt/Ba21zLOdP12DdJ5NnbrAwx9mKs8Hl&#10;vJIzgG5N8KNKNvLBY+LPiVpLNHepbTWPxC8TSnT2vUjTzLS01O91HTWNp5SvYRXljd21q7SmODE0&#10;quAYeo/CfxdJu/4R/wCP3xd8MmX+0WuDHB8LvEu97xLVLNoV8afDXxGLMaQYJ5LOKz8iG4e+n/tS&#10;PUEis0tgDoovD/xRtoGgi+I3h+9Mf2hbe71f4eGW+lQpEtk+pPpHi/RLC5uYXWZ7uXT9N0m3uzKq&#10;29nYLFiQAydetPj5bn/iltb+E+ph4tRb/iovD3izRjbT4tv7JiX+y/EGti8hB+2f2jM32OQj7N9m&#10;gH72gDk73xV+03pD3Uj/AAi+G/i2xsX1ZxF4b+KF7pOva1bW8Nm2kf2Xp3iXwjY6JZX2pXD30dxb&#10;at4nt7TT47e3kOpXJuHWAAuQfF34k2cd3J4j/Zt+KFqVn1VLCLwz4i+Ffix72207yjbXEoTx3pC6&#10;e2sLLnTrednkDQzJftZFUMgB2v8AwtTRIoXl1Dw78RtMeFbtrqG4+G/jS6FqbIQmdXvdJ0XUtLuA&#10;fPT7NNYX95bX22b7DPc+RN5YBiap+0D8KtBz/wAJBr2o+Hs/2r5X9veE/F2ki5TQxbnVZbM3uhQi&#10;7htBd2zNNbmSORZ4zC0gJwAdJb/Fv4Y3UKzx+PvCaRMlxLuudc0+zMaWhiW7a4S7nhe2Nq80SXK3&#10;CxNA8iLKEZgKAN+z8ZeEdRM66f4p8OXxtZJIroWet6Zcm3kiAMsc/kXUnlPHuXekm1kDAsACMgHQ&#10;rIjqrowkR1Do6EOrIwBV1YEhlYEFWBIIIIOCKAHE+gJoAX+lABQAhzxjHv6/h2/OgBf8mgCKWCGc&#10;BZoo5lXkCWNJADjGRvU4OCeRg8mgChc6Hot5JLLd6Ppd1LPplxos8tzp9pPJNo12Va70mV5YXaTT&#10;LplVriwctazsoMsTEA0AcrF8Lfh3aaTd6Fpvg3w9oujX9/peqXml6BpsGgWNzqOi3kN/pt7LbaKt&#10;hE1zb3VtbuZtu+dIIoLgzQRrEACBfhd4WTx2fiNG/iJPEroYptvi7xQNDmia0+xtHJ4Y/tY+HWUx&#10;BHAOmcXCJcg+eokoAZr/AMOW1jQLbQdP8e/Efwt9m1S41UazoXiZZ9dne5+1M1hdaj4ksPEBm0qK&#10;S6329h5ax24t7WGEpbxeSwBsweH/ABDbXSXS+O9avBD4Wh0NNO1TSfC0ulXGuwHcfGl+ul6Jo+sS&#10;6vdEBL3TLHWtN8NtCWWx0ewnK3CAEGk6Z8QLbTLuDWfFvhnVNXkvbOSx1Gy8FX+k2dtp8csDX9pc&#10;6ZL401SW7ubmFbqO1vY9Ss0s5JoZZbO8WBopwDlmm+O0HxFCHT/hZqPwlurryVmj1LxRpvxB0q2G&#10;miX7dcQSaffeHtXkbVo2tBYW8+mFbK5jvDeNLava3ABmeKPHnxh8K+GdC1SD4HXfxD1+81vVbXxF&#10;oPw+8e+E7ceH/DttfXZ0zXLa78f3PgtNdvb7SY7OabRLJY7iDVJ5rCO4mtokv5QCl8MPFFwNR+IP&#10;2jwp4mt7C78SeIPEzapFax6jbWUtvDpdhc+Fb20t9W1DV38YW81tcPJp2g6XfaFJCimw1O4upTE4&#10;B6donjjSde05tUttP8WWFuupWuleT4h8E+LvDN+91eTQQQSR6Zr+i6dqElj5lxGJtSS2bT7dRLJc&#10;XMccEzRgHY0AFABQAUAFABQAUAFABQAUAFABQAUAFABQAUAFABQAUAFABQAUAFABQAUAFABQAUAF&#10;ABQAUAFABQAUAFABQAUAFABQAUAFABQAUAIBjPXn9Pp9aAFAxnr1zz/npQAUAIVU9VB+oBoApvpu&#10;nSFjJYWchffvL2sD7/MIaQtuQ7i5ALk5LEAtnAoA5HxL8Lfhl40eCTxj8OfAnix7aC8tbZ/EvhDw&#10;/rr29rqJgbULaBtU0+6MUF+bW2N5DGVjujbwGdXMUe0A5hP2f/g3BPHd2HgHRtGvIJ9WubS+8Ptf&#10;eHb7TrnXHifVbjSr3QrzTrrSZ7p4ISZdNmtXh8tBbtEABQBF4h+EtpLDCfD1/wCM1mnvRDqMU/xj&#10;+JOlRRaZqV7bPq9/aXH2vxHM+p2FtCz6LpyRafZtIXshqGk29xLcKARx/B/UrO/bUNP+MPxegK3O&#10;o3Ntp1zr+jarpVub82pjgNpqnh66ku7XTfsxGnw3lzOyC6uhPJcb08sA6VvCHi8szR/FTxLGGF5h&#10;ToHgeTYbl0a3ZWl8NO3+gIrRwqSVmDk3fnsFZQDlLnw9+0Na3N1PpvxS+GGp2STao2naTrPwf1+0&#10;vJbeW5gbRrfVPEelfFnyDc2FmtzFqd/Y+FLaHVrmWK4tdL0WKFrWUA3YZ/jbarMLnTfhZrjO161u&#10;0Gt+LfCywKsq/wBnQzpJ4f8AGBuTLAX+23Ub2gt5Y18izuUmPkAGXqPjD4zadHdTx/B7SNaS2F6Y&#10;7fR/iVYJe3/k3NvFZCyj1rw/pFspvLeSe6f7deWYtVgETeZJKuAC5pfxD8aSrenX/g14z0mSCS8F&#10;nHp2r+C9e+3W9tLHHDNvh8R2a2sl6knnW9vNllSOUTvC4RJAC3qXxP8A7Gtry/1P4ffFCLT7C3vb&#10;m7n03wkfE10sVlKkZFponhK/17xJq9xdK/m2dloujajeXEaORbhwEIBk2/x9+HDi5/tCXxn4aa2a&#10;7HleMfhh8S/B891HY3UVnc3WnQeJPCWmS6nYrcTwLHfWCXFrOk0c0E0kLCSgDcPxl+E6BjN8SPBN&#10;sYxdGWO88SaVZTW5sZIor1Lq3u7qGe1lspZ4or2K4jiltJZEiuEjkYLQBsWvxF+H9+s8ll458I3U&#10;do063TW/iPR5lga2kWG4ExS8PlG3lZY5t+PKkZUk2sQCAddDNFcRJNBJHNDKiyRTROskUiOMq8ci&#10;FkdCOQykqRyCRQBJgZz7Y/z70ALQB4z8DNXm17wnresXDo89/wDEX4lhzFLfy26ppvjbWdGt1t/7&#10;Rt7aeOP7Lp0DNFFG1mszSmymntmimcA9moAKACgAoAKACgAoAKACgAoAKACgAoAKACgAoAKACgAo&#10;AKACgAoAKACgAoAKACgAoAKACgAoAKACgAoAKACgAoAKACgAoAKACgAoAKACgAoAKACgAoAKACgB&#10;MnPTj1yPx9/b60ALQAUAFABQAYHpQAUAFABgenTp7UAVryys9RtZrHULS2v7K5Ty7izvIIrq1njy&#10;Dsmt50eKVMgHa6MuQDjIFAHF6l8K/hlrLvJqvw98E6jJJa3Nk73nhfRbhntL2aK5u7ZzLZNvguri&#10;GGe4ibKTTRRySBnRSACo/wAIPhjIrp/whHh+JXWZc2tilk6LczRXFwIpLQwvCJp4IZHETICY1HTI&#10;IBz+s/AH4c6zK82fH+gmW1vrWaHwT8YPi54AtJxqN1FeXV1cWXgjxx4ftLjU/OhUW+rTQvqllA01&#10;rZXlvbTzxSAGrB8MZ7IFNN+JXxRsY40nitVk8Q6Zrn2aOa6huVUP4o0HXZbx7dIjZwT6q+oXItZp&#10;vNmluWW4QA6D4feBtH+Gvg7QfA+gTardaT4dtJLSzu9c1KfV9XuBLcz3cs2oajcYmu7iSe5lcuwC&#10;opWONUjRFUA7OgAoAKACgAoAD+P4Yz+vFADef9r/AMcoAOf9r/xygA5/2v8AxygA5/2v/HKADn/a&#10;/wDHKADn/a/8coAOf9r/AMcoAOf9r/xygA5/2v8AxygA5/2v/HKADn/a/wDHKADn/a/8coAOf9r/&#10;AMcoAOf9r/xygA5/2v8AxygA5/2v/HKADn/a/wDHKADn/a/8coAOf9r/AMcoAOf9r/xygA5/2v8A&#10;xygA5/2v/HKADn/a/wDHKADn/a/8coAOf9r/AMcoAOf9r/xygA5/2v8AxygA5/2v/HKADn/a/wDH&#10;KADn/a/8coAOf9r/AMcoAOf9r/xygA5/2v8AxygA5/2v/HKADn/a/wDHKADn/a/8coAOf9r/AMco&#10;AOf9r/xygA5/2v8AxygA5/2v/HKADn/a/wDHKADn/a/8coAOf9r/AMcoAOf9r/xygA/MepOM/p0/&#10;T25OQAIGyeOg7evX1wABj6/rgAdk+h/T/GgBCT6EfkT9AMnn3PAHNABn3b/xygA5/wBr/wAd/pzQ&#10;AHjqxH5f4UAGR13Nj1x/9jQAZ92/75/+xoAPxb/vn/7GgA/Fv++f/saADIHVmH4f/Y0AGQOrMPw/&#10;+xoAMg9GY/h/9jQAZ92/75/+xoAPxb/vn/7GgBMg9GJ/D/7GgBfxb/vn/wCxoAXn1b8gD+oFACc/&#10;7X/jlADh+P44z+nFACHp/wDWz+lADcD0H/fBoAMD0H/fBoAMD0H/AHwaADA9B/3waADA9B/3waAD&#10;A9B/3waADA9B/wB8GgAwPQf98GgAwPQf98GgAwPQf98GgAwPQf8AfBoAMD0H/fBoAMD0H/fBoAMD&#10;0H/fBoAMD0H/AHwaADA9B/3waADA9B/3waADA9B/3waADA9B/wB8GgAwPQf98GgAwPQf98GgAwPQ&#10;f98GgAwPQf8AfBoAMD0H/fBoAMD0H/fBoAMD0H/fBoAMD0H/AHwaADA9B/3waADA9B/3waADA9B/&#10;3waADA9B/wB8GgAwPQf98GgAwPQf98GgAwPQf98GgAwPQf8AfBoAMD0H/fBoAMD0H/fBoAMD0H/f&#10;BoAMD0H/AHwaADA9B/3waADA9B/3waADA9B/3waADA9B/wB8GgAwPQf98GgAwPQf98GgBCB7Ad/l&#10;K/me/wBB1/UAC49h+KEn8ccf57UAHToBn/cYUABXdznnucdf5dPX/IAFC44zkemP/r0AAXBODwe3&#10;/wBegB1ACYHoPyoAMfX8z/jQAuO38+f50ARlSpyDge+fyOAeP89aAHggjPHH+e4H8qADGTkgZHTv&#10;/h/L6UABz6A/U/8A1jQAcnvj6YP8xQAY9yfy/oBQAEDk4H4/1NAEW47mVo9oH3XChlYYXJyCSpDE&#10;rtYDdjcu4BgoA/A4wBjsSpYn3OOn+foABw6f/Wx+lAAen/18frQA3I9R/wB9mgAyPUf99mgAyPUf&#10;99mgAyPUf99mgAyPUf8AfZoAMj1H/fZoAMj1H/fZoAMj1H/fZoAMj1H/AH2aADI9R/32aADI9R/3&#10;2aADI9R/32aADI9R/wB9mgAyPUf99mgAyPUf99mgAyPUf99mgAyPUf8AfZoAMj1H/fZoAMj1H/fZ&#10;oAMj1H/fZoAMj1H/AH2aADI9R/32aADI9R/32aADI9R/32aADI9R/wB9mgAyPUf99mgAyPUf99mg&#10;AyPUf99mgAyPUf8AfZoAMj1H/fZoAMj1H/fZoAMj1H/fZoAMj1H/AH2aADI9R/32aADI9R/32aAD&#10;I9R/32aADI9R/wB9mgAyPUf99mgAyPUf99mgAyPUf99mgAyPUf8AfZoAMj1H/fZoAMj1H/fZoAMj&#10;1H/fZoAMj1H/AH2aADj1X6lice+DxmgBQM9Onbkgk+px6/T/AAoATp1wP+BtQAZHqP8Avs0ALu91&#10;/wC+s/0oAdQAhIHJoAMj3/I/4UALnP8A+oj+dACdfp/P/Afqfp1AEJycD8T1/D0z/KgBCNvIz+f/&#10;ANbkevP/ANYAUHcOMA/5/Q/56UAGQeuB6g4/yfrQAhCEdQPpigBq8H19SCMc/wA/8e3FAEtAEbqS&#10;pVWKZB5H8P5YbB6HayMASUZWwwAGReYEAmMZkHBaN2Af0YjauGPccjOSMA7QATDp/wDXz+tAC0AF&#10;ABQAUAFABQAUAFABQAUAFABQAUAFABQAUAFABQAUAFABQAUAFABQAUAFABQAUAEBNgHJ/kAFABQA&#10;UAFABQAUAFABQAUAFABQAUAFABQAUAFABQAUAFABQAmD6n9P8KADB9T+n+FAC9PU/l/9agBoBJy3&#10;4D0/+v8A5+gAu4c89OtAC9f8RigBCD2P19ffB6Z/CgAGOg47en/189/1oAB05/X+vb/PboABhABy&#10;rKPYnj/9X+R7AD/mx1B+g/8AshQAmW9P0H/xVACj15/HH9PX60ALQAUAFABQAUAFABQAUAFABQAU&#10;AFABQAUAFABQAUAFABQAUAFABQAUAFABQAUAFABQAUAFABQAUAFABQAUAFABQAUAFABQAUAFABQA&#10;UAFABQAUAFABQAUAFABQAUAFABQAUAFADSoPPQ+1ADgAOBQAUAFABQAUAFACFQ3XPBB6kdCD2I4y&#10;BkdGGVOVJBAFoAKACgAoAKAP/9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WGCzG7QAAAAiAQAAGQAAAGRycy9fcmVscy9lMm9Eb2MueG1sLnJl&#10;bHOFj8sKwjAQRfeC/xBmb9O6EJGmbkRwK/UDhmSaRpsHSRT79wbcKAgu517uOUy7f9qJPSgm452A&#10;pqqBkZNeGacFXPrjagssZXQKJ+9IwEwJ9t1y0Z5pwlxGaTQhsUJxScCYc9hxnuRIFlPlA7nSDD5a&#10;zOWMmgeUN9TE13W94fGTAd0Xk52UgHhSDbB+DsX8n+2HwUg6eHm35PIPBTe2uAsQo6YswJIy+A6b&#10;6hpIA+9a/vVZ9wJQSwMEFAAAAAgAh07iQNk5N4cTAQAASAIAABMAAABbQ29udGVudF9UeXBlc10u&#10;eG1slZJNTsMwEIX3SNzB8hbFDl0ghJp0QQoSC6hQOYBlTxKX+EceE9rb46StBFVaiaU98715b+z5&#10;Yms60kNA7WxBb1lOCVjplLZNQT/WT9k9JRiFVaJzFgq6A6SL8vpqvt55QJJoiwVtY/QPnKNswQhk&#10;zoNNldoFI2I6hoZ7IT9FA3yW53dcOhvBxiwOGrScV1CLry6S5TZd751sPDSUPO4bh1kF1WYQGAt8&#10;knlZPU8ibOMbOo0E6PCEEd53WoqYFsJ7q07CZIcgLJFjD7ba401Ke2bCUPmb4/eAA/eWXiBoBWQl&#10;QnwVJqXlKiBX7tsG6NllkcGlwczVtZbAqoBVwt6hP7o6pw4zVzn5X/HlSB21+fgPyh9QSwECFAAU&#10;AAAACACHTuJA2Tk3hxMBAABIAgAAEwAAAAAAAAABACAAAABtiwAAW0NvbnRlbnRfVHlwZXNdLnht&#10;bFBLAQIUAAoAAAAAAIdO4kAAAAAAAAAAAAAAAAAGAAAAAAAAAAAAEAAAADyJAABfcmVscy9QSwEC&#10;FAAUAAAACACHTuJAihRmPNEAAACUAQAACwAAAAAAAAABACAAAABgiQAAX3JlbHMvLnJlbHNQSwEC&#10;FAAKAAAAAACHTuJAAAAAAAAAAAAAAAAABAAAAAAAAAAAABAAAAAAAAAAZHJzL1BLAQIUAAoAAAAA&#10;AIdO4kAAAAAAAAAAAAAAAAAKAAAAAAAAAAAAEAAAAFqKAABkcnMvX3JlbHMvUEsBAhQAFAAAAAgA&#10;h07iQFhgsxu0AAAAIgEAABkAAAAAAAAAAQAgAAAAgooAAGRycy9fcmVscy9lMm9Eb2MueG1sLnJl&#10;bHNQSwECFAAUAAAACACHTuJA9gmFR9YAAAAHAQAADwAAAAAAAAABACAAAAAiAAAAZHJzL2Rvd25y&#10;ZXYueG1sUEsBAhQAFAAAAAgAh07iQEcy1PlQBgAASCYAAA4AAAAAAAAAAQAgAAAAJQEAAGRycy9l&#10;Mm9Eb2MueG1sUEsBAhQACgAAAAAAh07iQAAAAAAAAAAAAAAAAAoAAAAAAAAAAAAQAAAAoQcAAGRy&#10;cy9tZWRpYS9QSwECFAAUAAAACACHTuJAFQH8H0CBAAA2gQAAFQAAAAAAAAABACAAAADJBwAAZHJz&#10;L21lZGlhL2ltYWdlMS5qcGVnUEsFBgAAAAAKAAoAUwIAALGMAAAAAA==&#10;">
                      <o:lock v:ext="edit" aspectratio="f"/>
                      <v:shape id="_x0000_s1026" o:spid="_x0000_s1026" o:spt="75" alt="4_副本" type="#_x0000_t75" style="position:absolute;left:3174;top:258905;height:6353;width:8341;" filled="f" o:preferrelative="t" stroked="f" coordsize="21600,21600" o:gfxdata="UEsDBAoAAAAAAIdO4kAAAAAAAAAAAAAAAAAEAAAAZHJzL1BLAwQUAAAACACHTuJAYanrr7wAAADc&#10;AAAADwAAAGRycy9kb3ducmV2LnhtbEVPS2sCMRC+C/0PYQq9aWJRWdbNSikttPTkg1Jv42aaXdxM&#10;lk262n9vBMHbfHzPKVZn14qB+tB41jCdKBDElTcNWw277fs4AxEissHWM2n4pwCr8mFUYG78idc0&#10;bKIVKYRDjhrqGLtcylDV5DBMfEecuF/fO4wJ9laaHk8p3LXyWamFdNhwaqixo9eaquPmz2k47PdZ&#10;+/n28zKbOassfw9fdBy0fnqcqiWISOd4F9/cHybNn8/h+ky6QJ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Gp66+8AAAA&#10;3AAAAA8AAAAAAAAAAQAgAAAAIgAAAGRycy9kb3ducmV2LnhtbFBLAQIUABQAAAAIAIdO4kAzLwWe&#10;OwAAADkAAAAQAAAAAAAAAAEAIAAAAAsBAABkcnMvc2hhcGV4bWwueG1sUEsFBgAAAAAGAAYAWwEA&#10;ALUDAAAAAA==&#10;">
                        <v:fill on="f" focussize="0,0"/>
                        <v:stroke on="f"/>
                        <v:imagedata r:id="rId13" o:title=""/>
                        <o:lock v:ext="edit" aspectratio="t"/>
                      </v:shape>
                      <v:group id="_x0000_s1026" o:spid="_x0000_s1026" o:spt="203" style="position:absolute;left:4693;top:259818;height:887;width:2811;" coordorigin="3791,259818" coordsize="2811,887" o:gfxdata="UEsDBAoAAAAAAIdO4kAAAAAAAAAAAAAAAAAEAAAAZHJzL1BLAwQUAAAACACHTuJAC4eHib0AAADc&#10;AAAADwAAAGRycy9kb3ducmV2LnhtbEVPTWvCQBC9C/0PyxS8NZtoLSV1DSWoeJBCk0LpbciOSTA7&#10;G7Jrov++Wyh4m8f7nHV2NZ0YaXCtZQVJFIMgrqxuuVbwVe6eXkE4j6yxs0wKbuQg2zzM1phqO/En&#10;jYWvRQhhl6KCxvs+ldJVDRl0ke2JA3eyg0Ef4FBLPeAUwk0nF3H8Ig22HBoa7ClvqDoXF6NgP+H0&#10;vky24/F8ym8/5erj+5iQUvPHJH4D4enq7+J/90GH+c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C4eHib0AAADcAAAADwAAAAAAAAABACAAAAAiAAAAZHJzL2Rvd25yZXYueG1s&#10;UEsBAhQAFAAAAAgAh07iQDMvBZ47AAAAOQAAABUAAAAAAAAAAQAgAAAADAEAAGRycy9ncm91cHNo&#10;YXBleG1sLnhtbFBLBQYAAAAABgAGAGABAADJAwAAAAA=&#10;">
                        <o:lock v:ext="edit" aspectratio="f"/>
                        <v:shape id="_x0000_s1026" o:spid="_x0000_s1026" o:spt="32" type="#_x0000_t32" style="position:absolute;left:3791;top:260245;height:12;width:2807;" filled="f" stroked="t" coordsize="21600,21600" o:gfxdata="UEsDBAoAAAAAAIdO4kAAAAAAAAAAAAAAAAAEAAAAZHJzL1BLAwQUAAAACACHTuJABQNxJsAAAADc&#10;AAAADwAAAGRycy9kb3ducmV2LnhtbEWPQWvCQBCF70L/wzKFXqRutEYkzUZKobQoCNEePA7ZMQnN&#10;zqbZrdp/7xwEbzO8N+99k68urlMnGkLr2cB0koAirrxtuTbwvf94XoIKEdli55kM/FOAVfEwyjGz&#10;/swlnXaxVhLCIUMDTYx9pnWoGnIYJr4nFu3oB4dR1qHWdsCzhLtOz5JkoR22LA0N9vTeUPWz+3MG&#10;jut+vNiUv5vt56xM07d40Gk7N+bpcZq8gop0iXfz7frLCv6L0MozMoEur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FA3Em&#10;wAAAANwAAAAPAAAAAAAAAAEAIAAAACIAAABkcnMvZG93bnJldi54bWxQSwECFAAUAAAACACHTuJA&#10;My8FnjsAAAA5AAAAEAAAAAAAAAABACAAAAAPAQAAZHJzL3NoYXBleG1sLnhtbFBLBQYAAAAABgAG&#10;AFsBAAC5AwAAAAA=&#10;">
                          <v:fill on="f" focussize="0,0"/>
                          <v:stroke weight="0.5pt" color="#FFFFFF" miterlimit="8" joinstyle="miter" startarrow="block"/>
                          <v:imagedata o:title=""/>
                          <o:lock v:ext="edit" aspectratio="f"/>
                        </v:shape>
                        <v:shape id="_x0000_s1026" o:spid="_x0000_s1026" o:spt="202" type="#_x0000_t202" style="position:absolute;left:3832;top:259818;height:477;width:2768;" filled="f" stroked="f" coordsize="21600,21600" o:gfxdata="UEsDBAoAAAAAAIdO4kAAAAAAAAAAAAAAAAAEAAAAZHJzL1BLAwQUAAAACACHTuJApj6PorwAAADc&#10;AAAADwAAAGRycy9kb3ducmV2LnhtbEVPS4vCMBC+C/6HMII3TS3uItUoUhBF1oOPi7exGdtiM6lN&#10;fO2v3wgL3ubje85k9jSVuFPjSssKBv0IBHFmdcm5gsN+0RuBcB5ZY2WZFLzIwWzabk0w0fbBW7rv&#10;fC5CCLsEFRTe14mULivIoOvbmjhwZ9sY9AE2udQNPkK4qWQcRd/SYMmhocCa0oKyy+5mFKzTxQa3&#10;p9iMfqt0+XOe19fD8UupbmcQjUF4evqP+N+90mH+MIb3M+ECO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Y+j6K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ind w:firstLine="0" w:firstLineChars="0"/>
                                  <w:jc w:val="left"/>
                                  <w:rPr>
                                    <w:sz w:val="21"/>
                                    <w:szCs w:val="18"/>
                                  </w:rPr>
                                </w:pPr>
                                <w:r>
                                  <w:rPr>
                                    <w:sz w:val="21"/>
                                    <w:szCs w:val="18"/>
                                  </w:rPr>
                                  <w:t>Φ444.5mm钻头×一开深度</w:t>
                                </w:r>
                              </w:p>
                              <w:p>
                                <w:pPr>
                                  <w:ind w:firstLine="480"/>
                                </w:pPr>
                              </w:p>
                            </w:txbxContent>
                          </v:textbox>
                        </v:shape>
                        <v:shape id="_x0000_s1026" o:spid="_x0000_s1026" o:spt="202" type="#_x0000_t202" style="position:absolute;left:3834;top:260228;height:477;width:2768;" filled="f" stroked="f" coordsize="21600,21600" o:gfxdata="UEsDBAoAAAAAAIdO4kAAAAAAAAAAAAAAAAAEAAAAZHJzL1BLAwQUAAAACACHTuJAyXIqObwAAADc&#10;AAAADwAAAGRycy9kb3ducmV2LnhtbEVPS4vCMBC+C/sfwix409TXUqpRpCCKrAddL3ubbca22Exq&#10;E1/7640geJuP7zmT2c1U4kKNKy0r6HUjEMSZ1SXnCvY/i04MwnlkjZVlUnAnB7PpR2uCibZX3tJl&#10;53MRQtglqKDwvk6kdFlBBl3X1sSBO9jGoA+wyaVu8BrCTSX7UfQlDZYcGgqsKS0oO+7ORsE6XWxw&#10;+9c38X+VLr8P8/q0/x0p1f7sRWMQnm7+LX65VzrMHw7g+Uy4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yKjm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ind w:firstLine="0" w:firstLineChars="0"/>
                                  <w:jc w:val="left"/>
                                  <w:rPr>
                                    <w:sz w:val="21"/>
                                    <w:szCs w:val="18"/>
                                  </w:rPr>
                                </w:pPr>
                                <w:r>
                                  <w:rPr>
                                    <w:sz w:val="21"/>
                                    <w:szCs w:val="18"/>
                                  </w:rPr>
                                  <w:t>Φ</w:t>
                                </w:r>
                                <w:r>
                                  <w:rPr>
                                    <w:rFonts w:hint="eastAsia"/>
                                    <w:sz w:val="21"/>
                                    <w:szCs w:val="18"/>
                                  </w:rPr>
                                  <w:t>339.7</w:t>
                                </w:r>
                                <w:r>
                                  <w:rPr>
                                    <w:sz w:val="21"/>
                                    <w:szCs w:val="18"/>
                                  </w:rPr>
                                  <w:t>mm</w:t>
                                </w:r>
                                <w:r>
                                  <w:rPr>
                                    <w:rFonts w:hint="eastAsia"/>
                                    <w:sz w:val="21"/>
                                    <w:szCs w:val="18"/>
                                  </w:rPr>
                                  <w:t>套管</w:t>
                                </w:r>
                                <w:r>
                                  <w:rPr>
                                    <w:sz w:val="21"/>
                                    <w:szCs w:val="18"/>
                                  </w:rPr>
                                  <w:t>×一开深度</w:t>
                                </w:r>
                              </w:p>
                              <w:p>
                                <w:pPr>
                                  <w:ind w:firstLine="480"/>
                                </w:pPr>
                              </w:p>
                            </w:txbxContent>
                          </v:textbox>
                        </v:shape>
                      </v:group>
                      <v:group id="_x0000_s1026" o:spid="_x0000_s1026" o:spt="203" style="position:absolute;left:6642;top:262525;height:848;width:2904;" coordorigin="3791,259831" coordsize="2904,848" o:gfxdata="UEsDBAoAAAAAAIdO4kAAAAAAAAAAAAAAAAAEAAAAZHJzL1BLAwQUAAAACACHTuJA+1UZ/r0AAADc&#10;AAAADwAAAGRycy9kb3ducmV2LnhtbEVPS2vCQBC+C/0PyxR6001sG0rqKkW09BAKxkLpbciOSTA7&#10;G7JrHv++Kwje5uN7zmozmkb01LnasoJ4EYEgLqyuuVTwc9zP30A4j6yxsUwKJnKwWT/MVphqO/CB&#10;+tyXIoSwS1FB5X2bSumKigy6hW2JA3eynUEfYFdK3eEQwk0jl1GUSIM1h4YKW9pWVJzzi1HwOeDw&#10;8Rzv+ux82k5/x9fv3ywmpZ4e4+gdhKfR38U395cO81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UZ/r0AAADcAAAADwAAAAAAAAABACAAAAAiAAAAZHJzL2Rvd25yZXYueG1s&#10;UEsBAhQAFAAAAAgAh07iQDMvBZ47AAAAOQAAABUAAAAAAAAAAQAgAAAADAEAAGRycy9ncm91cHNo&#10;YXBleG1sLnhtbFBLBQYAAAAABgAGAGABAADJAwAAAAA=&#10;">
                        <o:lock v:ext="edit" aspectratio="f"/>
                        <v:shape id="直接箭头连接符 138" o:spid="_x0000_s1026" o:spt="32" type="#_x0000_t32" style="position:absolute;left:3791;top:260245;height:14;width:2904;" filled="f" stroked="t" coordsize="21600,21600" o:gfxdata="UEsDBAoAAAAAAIdO4kAAAAAAAAAAAAAAAAAEAAAAZHJzL1BLAwQUAAAACACHTuJALJqWKbwAAADc&#10;AAAADwAAAGRycy9kb3ducmV2LnhtbEVPS4vCMBC+L/gfwgheFk0Vq1KNIguyoiBUPXgcmrEtNpNu&#10;k/Xx740geJuP7zmzxd1U4kqNKy0r6PciEMSZ1SXnCo6HVXcCwnlkjZVlUvAgB4t562uGibY3Tum6&#10;97kIIewSVFB4XydSuqwgg65na+LAnW1j0AfY5FI3eAvhppKDKBpJgyWHhgJr+ikou+z/jYLzpv4e&#10;bdO/7e53kMbx0p9kXA6V6rT70RSEp7v/iN/utQ7zh2N4PRMu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alim8AAAA&#10;3AAAAA8AAAAAAAAAAQAgAAAAIgAAAGRycy9kb3ducmV2LnhtbFBLAQIUABQAAAAIAIdO4kAzLwWe&#10;OwAAADkAAAAQAAAAAAAAAAEAIAAAAAsBAABkcnMvc2hhcGV4bWwueG1sUEsFBgAAAAAGAAYAWwEA&#10;ALUDAAAAAA==&#10;">
                          <v:fill on="f" focussize="0,0"/>
                          <v:stroke weight="0.5pt" color="#FFFFFF" miterlimit="8" joinstyle="miter" startarrow="block"/>
                          <v:imagedata o:title=""/>
                          <o:lock v:ext="edit" aspectratio="f"/>
                        </v:shape>
                        <v:shape id="文本框 142" o:spid="_x0000_s1026" o:spt="202" type="#_x0000_t202" style="position:absolute;left:3832;top:259831;height:477;width:2768;" filled="f" stroked="f" coordsize="21600,21600" o:gfxdata="UEsDBAoAAAAAAIdO4kAAAAAAAAAAAAAAAAAEAAAAZHJzL1BLAwQUAAAACACHTuJAx9a4SMAAAADc&#10;AAAADwAAAGRycy9kb3ducmV2LnhtbEWPzWvCQBDF74X+D8sIvdWNUkuIriIBsRQ9+HHpbZodk2B2&#10;Ns2un3+9cyh4m+G9ee83k9nVNepMXag9Gxj0E1DEhbc1lwb2u8V7CipEZIuNZzJwowCz6evLBDPr&#10;L7yh8zaWSkI4ZGigirHNtA5FRQ5D37fEoh185zDK2pXadniRcNfoYZJ8aoc1S0OFLeUVFcftyRn4&#10;zhdr3PwOXXpv8uXqMG//9j8jY956g2QMKtI1Ps3/119W8D+EVp6RCfT0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H1rhI&#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ind w:firstLine="0" w:firstLineChars="0"/>
                                  <w:jc w:val="left"/>
                                  <w:rPr>
                                    <w:sz w:val="21"/>
                                    <w:szCs w:val="18"/>
                                  </w:rPr>
                                </w:pPr>
                                <w:r>
                                  <w:rPr>
                                    <w:sz w:val="21"/>
                                    <w:szCs w:val="18"/>
                                  </w:rPr>
                                  <w:t>Φ</w:t>
                                </w:r>
                                <w:r>
                                  <w:rPr>
                                    <w:rFonts w:hint="eastAsia"/>
                                    <w:sz w:val="21"/>
                                    <w:szCs w:val="18"/>
                                  </w:rPr>
                                  <w:t>311</w:t>
                                </w:r>
                                <w:r>
                                  <w:rPr>
                                    <w:sz w:val="21"/>
                                    <w:szCs w:val="18"/>
                                  </w:rPr>
                                  <w:t>mm钻头×</w:t>
                                </w:r>
                                <w:r>
                                  <w:rPr>
                                    <w:rFonts w:hint="eastAsia"/>
                                    <w:sz w:val="21"/>
                                    <w:szCs w:val="18"/>
                                  </w:rPr>
                                  <w:t>二</w:t>
                                </w:r>
                                <w:r>
                                  <w:rPr>
                                    <w:sz w:val="21"/>
                                    <w:szCs w:val="18"/>
                                  </w:rPr>
                                  <w:t>开深度</w:t>
                                </w:r>
                              </w:p>
                              <w:p>
                                <w:pPr>
                                  <w:ind w:firstLine="480"/>
                                </w:pPr>
                              </w:p>
                            </w:txbxContent>
                          </v:textbox>
                        </v:shape>
                        <v:shape id="文本框 143" o:spid="_x0000_s1026" o:spt="202" type="#_x0000_t202" style="position:absolute;left:3847;top:260202;height:477;width:2768;" filled="f" stroked="f" coordsize="21600,21600" o:gfxdata="UEsDBAoAAAAAAIdO4kAAAAAAAAAAAAAAAAAEAAAAZHJzL1BLAwQUAAAACACHTuJAqJod074AAADc&#10;AAAADwAAAGRycy9kb3ducmV2LnhtbEVPTWvCQBC9C/0PyxS8mY1SS5q6igSkpbQHbS7exuyYhGZn&#10;Y3Y1sb/eFQq9zeN9zmI1mEZcqHO1ZQXTKAZBXFhdc6kg/95MEhDOI2tsLJOCKzlYLR9GC0y17XlL&#10;l50vRQhhl6KCyvs2ldIVFRl0kW2JA3e0nUEfYFdK3WEfwk0jZ3H8LA3WHBoqbCmrqPjZnY2Cj2zz&#10;hdvDzCS/Tfb2eVy3p3w/V2r8OI1fQXga/L/4z/2uw/ynF7g/Ey6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Jod07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ind w:firstLine="0" w:firstLineChars="0"/>
                                  <w:jc w:val="left"/>
                                  <w:rPr>
                                    <w:sz w:val="21"/>
                                    <w:szCs w:val="18"/>
                                  </w:rPr>
                                </w:pPr>
                                <w:r>
                                  <w:rPr>
                                    <w:sz w:val="21"/>
                                    <w:szCs w:val="18"/>
                                  </w:rPr>
                                  <w:t>Φ</w:t>
                                </w:r>
                                <w:r>
                                  <w:rPr>
                                    <w:rFonts w:hint="eastAsia"/>
                                    <w:sz w:val="21"/>
                                    <w:szCs w:val="18"/>
                                  </w:rPr>
                                  <w:t>244.5</w:t>
                                </w:r>
                                <w:r>
                                  <w:rPr>
                                    <w:sz w:val="21"/>
                                    <w:szCs w:val="18"/>
                                  </w:rPr>
                                  <w:t>mm</w:t>
                                </w:r>
                                <w:r>
                                  <w:rPr>
                                    <w:rFonts w:hint="eastAsia"/>
                                    <w:sz w:val="21"/>
                                    <w:szCs w:val="18"/>
                                  </w:rPr>
                                  <w:t>套管</w:t>
                                </w:r>
                                <w:r>
                                  <w:rPr>
                                    <w:sz w:val="21"/>
                                    <w:szCs w:val="18"/>
                                  </w:rPr>
                                  <w:t>×</w:t>
                                </w:r>
                                <w:r>
                                  <w:rPr>
                                    <w:rFonts w:hint="eastAsia"/>
                                    <w:sz w:val="21"/>
                                    <w:szCs w:val="18"/>
                                  </w:rPr>
                                  <w:t>二</w:t>
                                </w:r>
                                <w:r>
                                  <w:rPr>
                                    <w:sz w:val="21"/>
                                    <w:szCs w:val="18"/>
                                  </w:rPr>
                                  <w:t>开深度</w:t>
                                </w:r>
                              </w:p>
                              <w:p>
                                <w:pPr>
                                  <w:ind w:firstLine="480"/>
                                </w:pPr>
                              </w:p>
                            </w:txbxContent>
                          </v:textbox>
                        </v:shape>
                      </v:group>
                      <v:group id="_x0000_s1026" o:spid="_x0000_s1026" o:spt="203" style="position:absolute;left:5606;top:264320;height:861;width:3191;" coordorigin="3450,259844" coordsize="3191,861" o:gfxdata="UEsDBAoAAAAAAIdO4kAAAAAAAAAAAAAAAAAEAAAAZHJzL1BLAwQUAAAACACHTuJAnimyzL4AAADc&#10;AAAADwAAAGRycy9kb3ducmV2LnhtbEWPQWvCQBCF7wX/wzJCb3UTxVKiq4hY6UGEakG8DdkxCWZn&#10;Q3ab6L93DoK3Gd6b976ZL2+uVh21ofJsIB0loIhzbysuDPwdvz++QIWIbLH2TAbuFGC5GLzNMbO+&#10;51/qDrFQEsIhQwNljE2mdchLchhGviEW7eJbh1HWttC2xV7CXa3HSfKpHVYsDSU2tC4pvx7+nYFt&#10;j/1qkm663fWyvp+P0/1pl5Ix78M0mYGKdIsv8/P6xwr+VPD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4pssy+AAAA3AAAAA8AAAAAAAAAAQAgAAAAIgAAAGRycy9kb3ducmV2Lnht&#10;bFBLAQIUABQAAAAIAIdO4kAzLwWeOwAAADkAAAAVAAAAAAAAAAEAIAAAAA0BAABkcnMvZ3JvdXBz&#10;aGFwZXhtbC54bWxQSwUGAAAAAAYABgBgAQAAygMAAAAA&#10;">
                        <o:lock v:ext="edit" aspectratio="f"/>
                        <v:shape id="直接箭头连接符 138" o:spid="_x0000_s1026" o:spt="32" type="#_x0000_t32" style="position:absolute;left:3791;top:260232;flip:y;height:13;width:2387;" filled="f" stroked="t" coordsize="21600,21600" o:gfxdata="UEsDBAoAAAAAAIdO4kAAAAAAAAAAAAAAAAAEAAAAZHJzL1BLAwQUAAAACACHTuJAG4xhLr0AAADc&#10;AAAADwAAAGRycy9kb3ducmV2LnhtbEVPTWvCQBC9C/0PyxS86W4Ei8SsUlqFioeiaYXchuyYhGZn&#10;Q3ar0V/fLRR6m8f7nGw92FZcqPeNYw3JVIEgLp1puNLwkW8nCxA+IBtsHZOGG3lYrx5GGabGXflA&#10;l2OoRAxhn6KGOoQuldKXNVn0U9cRR+7seoshwr6SpsdrDLetnCn1JC02HBtq7OilpvLr+G01zN9P&#10;+4Je+fk03IudmoX8023uWo8fE7UEEWgI/+I/95uJ8+cJ/D4TL5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jGEuvQAA&#10;ANwAAAAPAAAAAAAAAAEAIAAAACIAAABkcnMvZG93bnJldi54bWxQSwECFAAUAAAACACHTuJAMy8F&#10;njsAAAA5AAAAEAAAAAAAAAABACAAAAAMAQAAZHJzL3NoYXBleG1sLnhtbFBLBQYAAAAABgAGAFsB&#10;AAC2AwAAAAA=&#10;">
                          <v:fill on="f" focussize="0,0"/>
                          <v:stroke weight="0.5pt" color="#FFFFFF" miterlimit="8" joinstyle="miter" endarrow="block"/>
                          <v:imagedata o:title=""/>
                          <o:lock v:ext="edit" aspectratio="f"/>
                        </v:shape>
                        <v:shape id="文本框 142" o:spid="_x0000_s1026" o:spt="202" type="#_x0000_t202" style="position:absolute;left:3659;top:259844;height:477;width:2795;" filled="f" stroked="f" coordsize="21600,21600" o:gfxdata="UEsDBAoAAAAAAIdO4kAAAAAAAAAAAAAAAAAEAAAAZHJzL1BLAwQUAAAACACHTuJAI+cZf70AAADc&#10;AAAADwAAAGRycy9kb3ducmV2LnhtbEVPS4vCMBC+C/6HMMLeNLXgItW0SEGUZffg4+JtbMa22Exq&#10;Ex+7v34jCN7m43vOPHuYRtyoc7VlBeNRBIK4sLrmUsF+txxOQTiPrLGxTAp+yUGW9ntzTLS984Zu&#10;W1+KEMIuQQWV920ipSsqMuhGtiUO3Ml2Bn2AXSl1h/cQbhoZR9GnNFhzaKiwpbyi4ry9GgVf+fIH&#10;N8fYTP+afPV9WrSX/WGi1MdgHM1AeHr4t/jlXuswfxLD85lwgU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5xl/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ind w:firstLine="0" w:firstLineChars="0"/>
                                  <w:jc w:val="left"/>
                                  <w:rPr>
                                    <w:sz w:val="21"/>
                                    <w:szCs w:val="18"/>
                                  </w:rPr>
                                </w:pPr>
                                <w:r>
                                  <w:rPr>
                                    <w:sz w:val="21"/>
                                    <w:szCs w:val="18"/>
                                  </w:rPr>
                                  <w:t>Φ</w:t>
                                </w:r>
                                <w:r>
                                  <w:rPr>
                                    <w:rFonts w:hint="eastAsia"/>
                                    <w:sz w:val="21"/>
                                    <w:szCs w:val="18"/>
                                  </w:rPr>
                                  <w:t>215.9</w:t>
                                </w:r>
                                <w:r>
                                  <w:rPr>
                                    <w:sz w:val="21"/>
                                    <w:szCs w:val="18"/>
                                  </w:rPr>
                                  <w:t>mm钻头×</w:t>
                                </w:r>
                                <w:r>
                                  <w:rPr>
                                    <w:rFonts w:hint="eastAsia"/>
                                    <w:sz w:val="21"/>
                                    <w:szCs w:val="18"/>
                                  </w:rPr>
                                  <w:t>完钻</w:t>
                                </w:r>
                                <w:r>
                                  <w:rPr>
                                    <w:sz w:val="21"/>
                                    <w:szCs w:val="18"/>
                                  </w:rPr>
                                  <w:t>深度</w:t>
                                </w:r>
                              </w:p>
                              <w:p>
                                <w:pPr>
                                  <w:ind w:firstLine="480"/>
                                </w:pPr>
                              </w:p>
                            </w:txbxContent>
                          </v:textbox>
                        </v:shape>
                        <v:shape id="文本框 143" o:spid="_x0000_s1026" o:spt="202" type="#_x0000_t202" style="position:absolute;left:3450;top:260228;height:477;width:3191;" filled="f" stroked="f" coordsize="21600,21600" o:gfxdata="UEsDBAoAAAAAAIdO4kAAAAAAAAAAAAAAAAAEAAAAZHJzL1BLAwQUAAAACACHTuJATKu85LwAAADc&#10;AAAADwAAAGRycy9kb3ducmV2LnhtbEVPS4vCMBC+C/6HMAt701RFka6pLAVRFj34uHgbm+mDbSa1&#10;ia/99RtB8DYf33Nm87upxZVaV1lWMOhHIIgzqysuFBz2i94UhPPIGmvLpOBBDuZJtzPDWNsbb+m6&#10;84UIIexiVFB638RSuqwkg65vG+LA5bY16ANsC6lbvIVwU8thFE2kwYpDQ4kNpSVlv7uLUfCTLja4&#10;PQ3N9K9Ol+v8uzkfjmOlPj8G0RcIT3f/Fr/cKx3mj0fwfCZcIJ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rvOS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ind w:firstLine="0" w:firstLineChars="0"/>
                                  <w:jc w:val="left"/>
                                  <w:rPr>
                                    <w:sz w:val="21"/>
                                    <w:szCs w:val="18"/>
                                  </w:rPr>
                                </w:pPr>
                                <w:r>
                                  <w:rPr>
                                    <w:sz w:val="21"/>
                                    <w:szCs w:val="18"/>
                                  </w:rPr>
                                  <w:t>Φ</w:t>
                                </w:r>
                                <w:r>
                                  <w:rPr>
                                    <w:rFonts w:hint="eastAsia"/>
                                    <w:sz w:val="21"/>
                                    <w:szCs w:val="18"/>
                                  </w:rPr>
                                  <w:t>139.7</w:t>
                                </w:r>
                                <w:r>
                                  <w:rPr>
                                    <w:sz w:val="21"/>
                                    <w:szCs w:val="18"/>
                                  </w:rPr>
                                  <w:t>mm</w:t>
                                </w:r>
                                <w:r>
                                  <w:rPr>
                                    <w:rFonts w:hint="eastAsia"/>
                                    <w:sz w:val="21"/>
                                    <w:szCs w:val="18"/>
                                  </w:rPr>
                                  <w:t>油层套管</w:t>
                                </w:r>
                                <w:r>
                                  <w:rPr>
                                    <w:sz w:val="21"/>
                                    <w:szCs w:val="18"/>
                                  </w:rPr>
                                  <w:t>×</w:t>
                                </w:r>
                                <w:r>
                                  <w:rPr>
                                    <w:rFonts w:hint="eastAsia"/>
                                    <w:sz w:val="21"/>
                                    <w:szCs w:val="18"/>
                                  </w:rPr>
                                  <w:t>完钻</w:t>
                                </w:r>
                                <w:r>
                                  <w:rPr>
                                    <w:sz w:val="21"/>
                                    <w:szCs w:val="18"/>
                                  </w:rPr>
                                  <w:t>深度</w:t>
                                </w:r>
                              </w:p>
                              <w:p>
                                <w:pPr>
                                  <w:ind w:firstLine="480"/>
                                </w:pPr>
                              </w:p>
                            </w:txbxContent>
                          </v:textbox>
                        </v:shape>
                      </v:group>
                      <v:group id="_x0000_s1026" o:spid="_x0000_s1026" o:spt="203" style="position:absolute;left:4508;top:261515;height:477;width:2768;" coordorigin="6281,261515" coordsize="2768,477" o:gfxdata="UEsDBAoAAAAAAIdO4kAAAAAAAAAAAAAAAAAEAAAAZHJzL1BLAwQUAAAACACHTuJAEcAquLwAAADc&#10;AAAADwAAAGRycy9kb3ducmV2LnhtbEVPTYvCMBC9L/gfwgh7W9O6uEo1ioiKB1mwCuJtaMa22ExK&#10;E1v990ZY2Ns83ufMFg9TiZYaV1pWEA8iEMSZ1SXnCk7HzdcEhPPIGivLpOBJDhbz3scME207PlCb&#10;+lyEEHYJKii8rxMpXVaQQTewNXHgrrYx6ANscqkb7EK4qeQwin6kwZJDQ4E1rQrKbundKNh22C2/&#10;43W7v11Xz8tx9Hvex6TUZz+OpiA8Pfy/+M+902H+aAz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RwCq4vAAAANw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6281;top:261515;height:477;width:2768;" filled="f" stroked="f" coordsize="21600,21600" o:gfxdata="UEsDBAoAAAAAAIdO4kAAAAAAAAAAAAAAAAAEAAAAZHJzL1BLAwQUAAAACACHTuJARpuyTb4AAADc&#10;AAAADwAAAGRycy9kb3ducmV2LnhtbEVPS2vCQBC+C/6HZQq96SZiRaJrKAFpKfXg49LbNDsmwexs&#10;zG5N6q93BcHbfHzPWaa9qcWFWldZVhCPIxDEudUVFwoO+/VoDsJ5ZI21ZVLwTw7S1XCwxETbjrd0&#10;2flChBB2CSoovW8SKV1ekkE3tg1x4I62NegDbAupW+xCuKnlJIpm0mDFoaHEhrKS8tPuzyj4ytYb&#10;3P5OzPxaZx/fx/fmfPh5U+r1JY4WIDz1/il+uD91mD+dwv2ZcIF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puyTb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ind w:firstLine="0" w:firstLineChars="0"/>
                                </w:pPr>
                                <w:r>
                                  <w:rPr>
                                    <w:rFonts w:hint="eastAsia"/>
                                    <w:sz w:val="21"/>
                                    <w:szCs w:val="18"/>
                                  </w:rPr>
                                  <w:t>一开、二开水泥浆返至地面</w:t>
                                </w:r>
                              </w:p>
                            </w:txbxContent>
                          </v:textbox>
                        </v:shape>
                        <v:shape id="_x0000_s1026" o:spid="_x0000_s1026" o:spt="32" type="#_x0000_t32" style="position:absolute;left:6328;top:261943;flip:y;height:13;width:2387;" filled="f" stroked="t" coordsize="21600,21600" o:gfxdata="UEsDBAoAAAAAAIdO4kAAAAAAAAAAAAAAAAAEAAAAZHJzL1BLAwQUAAAACACHTuJAl0xCfrsAAADc&#10;AAAADwAAAGRycy9kb3ducmV2LnhtbEVP32vCMBB+F/Y/hBvszSYOJqUzCjo2BJ/suvdbc2uLzaUk&#10;qVr/ejMY7O0+vp+32lxtL87kQ+dYwyJTIIhrZzpuNFSf7/McRIjIBnvHpGGiAJv1w2yFhXEXPtK5&#10;jI1IIRwK1NDGOBRShroliyFzA3Hifpy3GBP0jTQeLync9vJZqaW02HFqaHGgXUv1qRythr13H8Nt&#10;a1S+q7+/KnOYxrc4af30uFCvICJd47/4z703af7LEn6fSRfI9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0xCfrsAAADc&#10;AAAADwAAAAAAAAABACAAAAAiAAAAZHJzL2Rvd25yZXYueG1sUEsBAhQAFAAAAAgAh07iQDMvBZ47&#10;AAAAOQAAABAAAAAAAAAAAQAgAAAACgEAAGRycy9zaGFwZXhtbC54bWxQSwUGAAAAAAYABgBbAQAA&#10;tAMAAAAA&#10;">
                          <v:fill on="f" focussize="0,0"/>
                          <v:stroke weight="0.5pt" color="#FFFFFF" miterlimit="8" joinstyle="miter" startarrow="block"/>
                          <v:imagedata o:title=""/>
                          <o:lock v:ext="edit" aspectratio="f"/>
                        </v:shape>
                      </v:group>
                    </v:group>
                  </w:pict>
                </mc:Fallback>
              </mc:AlternateContent>
            </w: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
            </w:pPr>
          </w:p>
          <w:p>
            <w:pPr>
              <w:pStyle w:val="2"/>
            </w:pPr>
          </w:p>
          <w:p>
            <w:pPr>
              <w:pStyle w:val="2"/>
            </w:pPr>
          </w:p>
          <w:p>
            <w:pPr>
              <w:pStyle w:val="2"/>
            </w:pPr>
          </w:p>
          <w:p>
            <w:pPr>
              <w:pStyle w:val="2"/>
              <w:jc w:val="both"/>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r>
              <w:t>图2-</w:t>
            </w:r>
            <w:r>
              <w:rPr>
                <w:rFonts w:hint="eastAsia"/>
              </w:rPr>
              <w:t>4</w:t>
            </w:r>
            <w:r>
              <w:t xml:space="preserve">  井身结构示意图</w:t>
            </w:r>
          </w:p>
          <w:p>
            <w:pPr>
              <w:pStyle w:val="19"/>
              <w:jc w:val="left"/>
            </w:pPr>
            <w:r>
              <w:t xml:space="preserve">5.2 </w:t>
            </w:r>
            <w:r>
              <w:rPr>
                <w:rFonts w:hint="eastAsia"/>
              </w:rPr>
              <w:t>主要</w:t>
            </w:r>
            <w:r>
              <w:t>设备</w:t>
            </w:r>
          </w:p>
          <w:p>
            <w:pPr>
              <w:ind w:firstLine="480"/>
            </w:pPr>
            <w:r>
              <w:rPr>
                <w:rFonts w:hint="eastAsia"/>
              </w:rPr>
              <w:t>钻井设备主要包括提升系统、循环系统、动力系统、控制系统等、仪器仪表等，见表2-7。</w:t>
            </w:r>
          </w:p>
          <w:p>
            <w:pPr>
              <w:pStyle w:val="2"/>
              <w:spacing w:line="360" w:lineRule="auto"/>
            </w:pPr>
            <w:r>
              <w:t>表2-</w:t>
            </w:r>
            <w:r>
              <w:rPr>
                <w:rFonts w:hint="eastAsia"/>
              </w:rPr>
              <w:t>7</w:t>
            </w:r>
            <w:r>
              <w:t xml:space="preserve">  </w:t>
            </w:r>
            <w:r>
              <w:rPr>
                <w:rFonts w:hint="eastAsia"/>
              </w:rPr>
              <w:t>钻井井场主要设备一览表</w:t>
            </w:r>
          </w:p>
          <w:tbl>
            <w:tblPr>
              <w:tblStyle w:val="14"/>
              <w:tblW w:w="8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890"/>
              <w:gridCol w:w="1472"/>
              <w:gridCol w:w="1997"/>
              <w:gridCol w:w="1106"/>
              <w:gridCol w:w="1106"/>
              <w:gridCol w:w="1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643" w:type="dxa"/>
                  <w:vAlign w:val="center"/>
                </w:tcPr>
                <w:p>
                  <w:pPr>
                    <w:spacing w:line="240" w:lineRule="auto"/>
                    <w:ind w:firstLine="0" w:firstLineChars="0"/>
                    <w:jc w:val="center"/>
                    <w:rPr>
                      <w:b/>
                      <w:bCs/>
                      <w:sz w:val="21"/>
                      <w:szCs w:val="21"/>
                    </w:rPr>
                  </w:pPr>
                  <w:r>
                    <w:rPr>
                      <w:b/>
                      <w:bCs/>
                      <w:sz w:val="21"/>
                      <w:szCs w:val="21"/>
                    </w:rPr>
                    <w:t>序号</w:t>
                  </w:r>
                </w:p>
              </w:tc>
              <w:tc>
                <w:tcPr>
                  <w:tcW w:w="2362" w:type="dxa"/>
                  <w:gridSpan w:val="2"/>
                  <w:vAlign w:val="center"/>
                </w:tcPr>
                <w:p>
                  <w:pPr>
                    <w:spacing w:line="240" w:lineRule="auto"/>
                    <w:ind w:firstLine="0" w:firstLineChars="0"/>
                    <w:jc w:val="center"/>
                    <w:rPr>
                      <w:b/>
                      <w:bCs/>
                      <w:sz w:val="21"/>
                      <w:szCs w:val="21"/>
                    </w:rPr>
                  </w:pPr>
                  <w:r>
                    <w:rPr>
                      <w:b/>
                      <w:bCs/>
                      <w:sz w:val="21"/>
                      <w:szCs w:val="21"/>
                    </w:rPr>
                    <w:t>名称</w:t>
                  </w:r>
                </w:p>
              </w:tc>
              <w:tc>
                <w:tcPr>
                  <w:tcW w:w="1997" w:type="dxa"/>
                  <w:vAlign w:val="center"/>
                </w:tcPr>
                <w:p>
                  <w:pPr>
                    <w:spacing w:line="240" w:lineRule="auto"/>
                    <w:ind w:firstLine="0" w:firstLineChars="0"/>
                    <w:jc w:val="center"/>
                    <w:rPr>
                      <w:b/>
                      <w:bCs/>
                      <w:sz w:val="21"/>
                      <w:szCs w:val="21"/>
                    </w:rPr>
                  </w:pPr>
                  <w:r>
                    <w:rPr>
                      <w:b/>
                      <w:bCs/>
                      <w:sz w:val="21"/>
                      <w:szCs w:val="21"/>
                    </w:rPr>
                    <w:t>型号</w:t>
                  </w:r>
                </w:p>
              </w:tc>
              <w:tc>
                <w:tcPr>
                  <w:tcW w:w="1106" w:type="dxa"/>
                  <w:vAlign w:val="center"/>
                </w:tcPr>
                <w:p>
                  <w:pPr>
                    <w:spacing w:line="240" w:lineRule="auto"/>
                    <w:ind w:firstLine="0" w:firstLineChars="0"/>
                    <w:jc w:val="center"/>
                    <w:rPr>
                      <w:b/>
                      <w:bCs/>
                      <w:sz w:val="21"/>
                      <w:szCs w:val="21"/>
                    </w:rPr>
                  </w:pPr>
                  <w:r>
                    <w:rPr>
                      <w:b/>
                      <w:bCs/>
                      <w:sz w:val="21"/>
                      <w:szCs w:val="21"/>
                    </w:rPr>
                    <w:t>载荷（kN）</w:t>
                  </w:r>
                </w:p>
              </w:tc>
              <w:tc>
                <w:tcPr>
                  <w:tcW w:w="1106" w:type="dxa"/>
                  <w:vAlign w:val="center"/>
                </w:tcPr>
                <w:p>
                  <w:pPr>
                    <w:spacing w:line="240" w:lineRule="auto"/>
                    <w:ind w:firstLine="0" w:firstLineChars="0"/>
                    <w:jc w:val="center"/>
                    <w:rPr>
                      <w:b/>
                      <w:bCs/>
                      <w:sz w:val="21"/>
                      <w:szCs w:val="21"/>
                    </w:rPr>
                  </w:pPr>
                  <w:r>
                    <w:rPr>
                      <w:b/>
                      <w:bCs/>
                      <w:sz w:val="21"/>
                      <w:szCs w:val="21"/>
                    </w:rPr>
                    <w:t>功率（kW）</w:t>
                  </w:r>
                </w:p>
              </w:tc>
              <w:tc>
                <w:tcPr>
                  <w:tcW w:w="1022" w:type="dxa"/>
                  <w:vAlign w:val="center"/>
                </w:tcPr>
                <w:p>
                  <w:pPr>
                    <w:spacing w:line="240" w:lineRule="auto"/>
                    <w:ind w:firstLine="0" w:firstLineChars="0"/>
                    <w:jc w:val="center"/>
                    <w:rPr>
                      <w:b/>
                      <w:bCs/>
                      <w:sz w:val="21"/>
                      <w:szCs w:val="21"/>
                    </w:rPr>
                  </w:pPr>
                  <w:r>
                    <w:rPr>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Align w:val="center"/>
                </w:tcPr>
                <w:p>
                  <w:pPr>
                    <w:spacing w:line="240" w:lineRule="auto"/>
                    <w:ind w:firstLine="0" w:firstLineChars="0"/>
                    <w:jc w:val="center"/>
                    <w:rPr>
                      <w:sz w:val="21"/>
                      <w:szCs w:val="21"/>
                    </w:rPr>
                  </w:pPr>
                  <w:r>
                    <w:rPr>
                      <w:sz w:val="21"/>
                      <w:szCs w:val="21"/>
                    </w:rPr>
                    <w:t>一</w:t>
                  </w:r>
                </w:p>
              </w:tc>
              <w:tc>
                <w:tcPr>
                  <w:tcW w:w="2362" w:type="dxa"/>
                  <w:gridSpan w:val="2"/>
                  <w:vAlign w:val="center"/>
                </w:tcPr>
                <w:p>
                  <w:pPr>
                    <w:spacing w:line="240" w:lineRule="auto"/>
                    <w:ind w:firstLine="0" w:firstLineChars="0"/>
                    <w:jc w:val="center"/>
                    <w:rPr>
                      <w:sz w:val="21"/>
                      <w:szCs w:val="21"/>
                    </w:rPr>
                  </w:pPr>
                  <w:r>
                    <w:rPr>
                      <w:sz w:val="21"/>
                      <w:szCs w:val="21"/>
                    </w:rPr>
                    <w:t>钻机</w:t>
                  </w:r>
                </w:p>
              </w:tc>
              <w:tc>
                <w:tcPr>
                  <w:tcW w:w="1997" w:type="dxa"/>
                  <w:vAlign w:val="center"/>
                </w:tcPr>
                <w:p>
                  <w:pPr>
                    <w:spacing w:line="240" w:lineRule="auto"/>
                    <w:ind w:firstLine="0" w:firstLineChars="0"/>
                    <w:jc w:val="center"/>
                    <w:rPr>
                      <w:sz w:val="21"/>
                      <w:szCs w:val="21"/>
                    </w:rPr>
                  </w:pPr>
                  <w:r>
                    <w:rPr>
                      <w:sz w:val="21"/>
                      <w:szCs w:val="21"/>
                    </w:rPr>
                    <w:t>ZJ-</w:t>
                  </w:r>
                  <w:r>
                    <w:rPr>
                      <w:rFonts w:hint="eastAsia"/>
                      <w:sz w:val="21"/>
                      <w:szCs w:val="21"/>
                    </w:rPr>
                    <w:t>30</w:t>
                  </w:r>
                </w:p>
              </w:tc>
              <w:tc>
                <w:tcPr>
                  <w:tcW w:w="1106" w:type="dxa"/>
                  <w:vAlign w:val="center"/>
                </w:tcPr>
                <w:p>
                  <w:pPr>
                    <w:spacing w:line="240" w:lineRule="auto"/>
                    <w:ind w:firstLine="0" w:firstLineChars="0"/>
                    <w:jc w:val="center"/>
                    <w:rPr>
                      <w:sz w:val="21"/>
                      <w:szCs w:val="21"/>
                    </w:rPr>
                  </w:pPr>
                  <w:r>
                    <w:rPr>
                      <w:sz w:val="21"/>
                      <w:szCs w:val="21"/>
                    </w:rPr>
                    <w:t>3150</w:t>
                  </w:r>
                </w:p>
              </w:tc>
              <w:tc>
                <w:tcPr>
                  <w:tcW w:w="1106" w:type="dxa"/>
                  <w:vAlign w:val="center"/>
                </w:tcPr>
                <w:p>
                  <w:pPr>
                    <w:spacing w:line="240" w:lineRule="auto"/>
                    <w:ind w:firstLine="0" w:firstLineChars="0"/>
                    <w:jc w:val="center"/>
                    <w:rPr>
                      <w:sz w:val="21"/>
                      <w:szCs w:val="21"/>
                    </w:rPr>
                  </w:pPr>
                  <w:r>
                    <w:rPr>
                      <w:sz w:val="21"/>
                      <w:szCs w:val="21"/>
                    </w:rPr>
                    <w:t>-</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43" w:type="dxa"/>
                  <w:vAlign w:val="center"/>
                </w:tcPr>
                <w:p>
                  <w:pPr>
                    <w:spacing w:line="240" w:lineRule="auto"/>
                    <w:ind w:firstLine="0" w:firstLineChars="0"/>
                    <w:jc w:val="center"/>
                    <w:rPr>
                      <w:sz w:val="21"/>
                      <w:szCs w:val="21"/>
                    </w:rPr>
                  </w:pPr>
                  <w:r>
                    <w:rPr>
                      <w:sz w:val="21"/>
                      <w:szCs w:val="21"/>
                    </w:rPr>
                    <w:t>二</w:t>
                  </w:r>
                </w:p>
              </w:tc>
              <w:tc>
                <w:tcPr>
                  <w:tcW w:w="2362" w:type="dxa"/>
                  <w:gridSpan w:val="2"/>
                  <w:vAlign w:val="center"/>
                </w:tcPr>
                <w:p>
                  <w:pPr>
                    <w:spacing w:line="240" w:lineRule="auto"/>
                    <w:ind w:firstLine="0" w:firstLineChars="0"/>
                    <w:jc w:val="center"/>
                    <w:rPr>
                      <w:sz w:val="21"/>
                      <w:szCs w:val="21"/>
                    </w:rPr>
                  </w:pPr>
                  <w:r>
                    <w:rPr>
                      <w:sz w:val="21"/>
                      <w:szCs w:val="21"/>
                    </w:rPr>
                    <w:t>井架</w:t>
                  </w:r>
                </w:p>
              </w:tc>
              <w:tc>
                <w:tcPr>
                  <w:tcW w:w="1997" w:type="dxa"/>
                  <w:vAlign w:val="center"/>
                </w:tcPr>
                <w:p>
                  <w:pPr>
                    <w:spacing w:line="240" w:lineRule="auto"/>
                    <w:ind w:firstLine="0" w:firstLineChars="0"/>
                    <w:jc w:val="center"/>
                    <w:rPr>
                      <w:sz w:val="21"/>
                      <w:szCs w:val="21"/>
                    </w:rPr>
                  </w:pPr>
                  <w:r>
                    <w:rPr>
                      <w:sz w:val="21"/>
                      <w:szCs w:val="21"/>
                    </w:rPr>
                    <w:t>JJ315/43-3A</w:t>
                  </w:r>
                </w:p>
              </w:tc>
              <w:tc>
                <w:tcPr>
                  <w:tcW w:w="1106" w:type="dxa"/>
                  <w:vAlign w:val="center"/>
                </w:tcPr>
                <w:p>
                  <w:pPr>
                    <w:spacing w:line="240" w:lineRule="auto"/>
                    <w:ind w:firstLine="0" w:firstLineChars="0"/>
                    <w:jc w:val="center"/>
                    <w:rPr>
                      <w:sz w:val="21"/>
                      <w:szCs w:val="21"/>
                    </w:rPr>
                  </w:pPr>
                  <w:r>
                    <w:rPr>
                      <w:sz w:val="21"/>
                      <w:szCs w:val="21"/>
                    </w:rPr>
                    <w:t>3150</w:t>
                  </w:r>
                </w:p>
              </w:tc>
              <w:tc>
                <w:tcPr>
                  <w:tcW w:w="1106" w:type="dxa"/>
                  <w:vAlign w:val="center"/>
                </w:tcPr>
                <w:p>
                  <w:pPr>
                    <w:spacing w:line="240" w:lineRule="auto"/>
                    <w:ind w:firstLine="420"/>
                    <w:jc w:val="center"/>
                    <w:rPr>
                      <w:sz w:val="21"/>
                      <w:szCs w:val="21"/>
                    </w:rPr>
                  </w:pP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restart"/>
                  <w:vAlign w:val="center"/>
                </w:tcPr>
                <w:p>
                  <w:pPr>
                    <w:spacing w:line="240" w:lineRule="auto"/>
                    <w:ind w:firstLine="0" w:firstLineChars="0"/>
                    <w:jc w:val="center"/>
                    <w:rPr>
                      <w:sz w:val="21"/>
                      <w:szCs w:val="21"/>
                    </w:rPr>
                  </w:pPr>
                  <w:r>
                    <w:rPr>
                      <w:sz w:val="21"/>
                      <w:szCs w:val="21"/>
                    </w:rPr>
                    <w:t>三</w:t>
                  </w:r>
                </w:p>
              </w:tc>
              <w:tc>
                <w:tcPr>
                  <w:tcW w:w="890" w:type="dxa"/>
                  <w:vMerge w:val="restart"/>
                  <w:vAlign w:val="center"/>
                </w:tcPr>
                <w:p>
                  <w:pPr>
                    <w:spacing w:line="240" w:lineRule="auto"/>
                    <w:ind w:firstLine="0" w:firstLineChars="0"/>
                    <w:jc w:val="center"/>
                    <w:rPr>
                      <w:sz w:val="21"/>
                      <w:szCs w:val="21"/>
                    </w:rPr>
                  </w:pPr>
                  <w:r>
                    <w:rPr>
                      <w:sz w:val="21"/>
                      <w:szCs w:val="21"/>
                    </w:rPr>
                    <w:t>提升系统</w:t>
                  </w:r>
                </w:p>
              </w:tc>
              <w:tc>
                <w:tcPr>
                  <w:tcW w:w="1472" w:type="dxa"/>
                  <w:vAlign w:val="center"/>
                </w:tcPr>
                <w:p>
                  <w:pPr>
                    <w:spacing w:line="240" w:lineRule="auto"/>
                    <w:ind w:firstLine="0" w:firstLineChars="0"/>
                    <w:jc w:val="center"/>
                    <w:rPr>
                      <w:sz w:val="21"/>
                      <w:szCs w:val="21"/>
                    </w:rPr>
                  </w:pPr>
                  <w:r>
                    <w:rPr>
                      <w:sz w:val="21"/>
                      <w:szCs w:val="21"/>
                    </w:rPr>
                    <w:t>绞车</w:t>
                  </w:r>
                </w:p>
              </w:tc>
              <w:tc>
                <w:tcPr>
                  <w:tcW w:w="1997" w:type="dxa"/>
                  <w:vAlign w:val="center"/>
                </w:tcPr>
                <w:p>
                  <w:pPr>
                    <w:spacing w:line="240" w:lineRule="auto"/>
                    <w:ind w:firstLine="0" w:firstLineChars="0"/>
                    <w:jc w:val="center"/>
                    <w:rPr>
                      <w:sz w:val="21"/>
                      <w:szCs w:val="21"/>
                    </w:rPr>
                  </w:pPr>
                  <w:r>
                    <w:rPr>
                      <w:sz w:val="21"/>
                      <w:szCs w:val="21"/>
                    </w:rPr>
                    <w:t>JC45</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1103</w:t>
                  </w:r>
                </w:p>
              </w:tc>
              <w:tc>
                <w:tcPr>
                  <w:tcW w:w="1022" w:type="dxa"/>
                  <w:vAlign w:val="center"/>
                </w:tcPr>
                <w:p>
                  <w:pPr>
                    <w:spacing w:line="240" w:lineRule="auto"/>
                    <w:ind w:firstLine="0" w:firstLineChars="0"/>
                    <w:jc w:val="center"/>
                    <w:rPr>
                      <w:sz w:val="21"/>
                      <w:szCs w:val="21"/>
                    </w:rPr>
                  </w:pPr>
                  <w:r>
                    <w:rPr>
                      <w:rFonts w:hint="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天车</w:t>
                  </w:r>
                </w:p>
              </w:tc>
              <w:tc>
                <w:tcPr>
                  <w:tcW w:w="1997" w:type="dxa"/>
                  <w:vAlign w:val="center"/>
                </w:tcPr>
                <w:p>
                  <w:pPr>
                    <w:spacing w:line="240" w:lineRule="auto"/>
                    <w:ind w:firstLine="0" w:firstLineChars="0"/>
                    <w:jc w:val="center"/>
                    <w:rPr>
                      <w:sz w:val="21"/>
                      <w:szCs w:val="21"/>
                    </w:rPr>
                  </w:pPr>
                  <w:r>
                    <w:rPr>
                      <w:sz w:val="21"/>
                      <w:szCs w:val="21"/>
                    </w:rPr>
                    <w:t>TC315（350）</w:t>
                  </w:r>
                </w:p>
              </w:tc>
              <w:tc>
                <w:tcPr>
                  <w:tcW w:w="1106" w:type="dxa"/>
                  <w:vAlign w:val="center"/>
                </w:tcPr>
                <w:p>
                  <w:pPr>
                    <w:spacing w:line="240" w:lineRule="auto"/>
                    <w:ind w:firstLine="0" w:firstLineChars="0"/>
                    <w:jc w:val="center"/>
                    <w:rPr>
                      <w:sz w:val="21"/>
                      <w:szCs w:val="21"/>
                    </w:rPr>
                  </w:pPr>
                  <w:r>
                    <w:rPr>
                      <w:sz w:val="21"/>
                      <w:szCs w:val="21"/>
                    </w:rPr>
                    <w:t>3150</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游动滑车</w:t>
                  </w:r>
                </w:p>
              </w:tc>
              <w:tc>
                <w:tcPr>
                  <w:tcW w:w="1997" w:type="dxa"/>
                  <w:vAlign w:val="center"/>
                </w:tcPr>
                <w:p>
                  <w:pPr>
                    <w:spacing w:line="240" w:lineRule="auto"/>
                    <w:ind w:firstLine="0" w:firstLineChars="0"/>
                    <w:jc w:val="center"/>
                    <w:rPr>
                      <w:sz w:val="21"/>
                      <w:szCs w:val="21"/>
                    </w:rPr>
                  </w:pPr>
                  <w:r>
                    <w:rPr>
                      <w:sz w:val="21"/>
                      <w:szCs w:val="21"/>
                    </w:rPr>
                    <w:t>YC350</w:t>
                  </w:r>
                </w:p>
              </w:tc>
              <w:tc>
                <w:tcPr>
                  <w:tcW w:w="1106" w:type="dxa"/>
                  <w:vAlign w:val="center"/>
                </w:tcPr>
                <w:p>
                  <w:pPr>
                    <w:spacing w:line="240" w:lineRule="auto"/>
                    <w:ind w:firstLine="0" w:firstLineChars="0"/>
                    <w:jc w:val="center"/>
                    <w:rPr>
                      <w:sz w:val="21"/>
                      <w:szCs w:val="21"/>
                    </w:rPr>
                  </w:pPr>
                  <w:r>
                    <w:rPr>
                      <w:rFonts w:hint="eastAsia"/>
                      <w:sz w:val="21"/>
                      <w:szCs w:val="21"/>
                    </w:rPr>
                    <w:t>3200</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大钩</w:t>
                  </w:r>
                </w:p>
              </w:tc>
              <w:tc>
                <w:tcPr>
                  <w:tcW w:w="1997" w:type="dxa"/>
                  <w:vAlign w:val="center"/>
                </w:tcPr>
                <w:p>
                  <w:pPr>
                    <w:spacing w:line="240" w:lineRule="auto"/>
                    <w:ind w:firstLine="0" w:firstLineChars="0"/>
                    <w:jc w:val="center"/>
                    <w:rPr>
                      <w:sz w:val="21"/>
                      <w:szCs w:val="21"/>
                    </w:rPr>
                  </w:pPr>
                  <w:r>
                    <w:rPr>
                      <w:sz w:val="21"/>
                      <w:szCs w:val="21"/>
                    </w:rPr>
                    <w:t>DG350</w:t>
                  </w:r>
                </w:p>
              </w:tc>
              <w:tc>
                <w:tcPr>
                  <w:tcW w:w="1106" w:type="dxa"/>
                  <w:vAlign w:val="center"/>
                </w:tcPr>
                <w:p>
                  <w:pPr>
                    <w:spacing w:line="240" w:lineRule="auto"/>
                    <w:ind w:firstLine="0" w:firstLineChars="0"/>
                    <w:jc w:val="center"/>
                    <w:rPr>
                      <w:sz w:val="21"/>
                      <w:szCs w:val="21"/>
                    </w:rPr>
                  </w:pPr>
                  <w:r>
                    <w:rPr>
                      <w:rFonts w:hint="eastAsia"/>
                      <w:sz w:val="21"/>
                      <w:szCs w:val="21"/>
                    </w:rPr>
                    <w:t>3200</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水龙头</w:t>
                  </w:r>
                </w:p>
              </w:tc>
              <w:tc>
                <w:tcPr>
                  <w:tcW w:w="1997" w:type="dxa"/>
                  <w:vAlign w:val="center"/>
                </w:tcPr>
                <w:p>
                  <w:pPr>
                    <w:spacing w:line="240" w:lineRule="auto"/>
                    <w:ind w:firstLine="0" w:firstLineChars="0"/>
                    <w:jc w:val="center"/>
                    <w:rPr>
                      <w:sz w:val="21"/>
                      <w:szCs w:val="21"/>
                    </w:rPr>
                  </w:pPr>
                  <w:r>
                    <w:rPr>
                      <w:sz w:val="21"/>
                      <w:szCs w:val="21"/>
                    </w:rPr>
                    <w:t>SL450</w:t>
                  </w:r>
                </w:p>
              </w:tc>
              <w:tc>
                <w:tcPr>
                  <w:tcW w:w="1106" w:type="dxa"/>
                  <w:vAlign w:val="center"/>
                </w:tcPr>
                <w:p>
                  <w:pPr>
                    <w:spacing w:line="240" w:lineRule="auto"/>
                    <w:ind w:firstLine="0" w:firstLineChars="0"/>
                    <w:jc w:val="center"/>
                    <w:rPr>
                      <w:sz w:val="21"/>
                      <w:szCs w:val="21"/>
                    </w:rPr>
                  </w:pPr>
                  <w:r>
                    <w:rPr>
                      <w:rFonts w:hint="eastAsia"/>
                      <w:sz w:val="21"/>
                      <w:szCs w:val="21"/>
                    </w:rPr>
                    <w:t>4500</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四</w:t>
                  </w:r>
                </w:p>
              </w:tc>
              <w:tc>
                <w:tcPr>
                  <w:tcW w:w="2362" w:type="dxa"/>
                  <w:gridSpan w:val="2"/>
                  <w:vAlign w:val="center"/>
                </w:tcPr>
                <w:p>
                  <w:pPr>
                    <w:spacing w:line="240" w:lineRule="auto"/>
                    <w:ind w:firstLine="0" w:firstLineChars="0"/>
                    <w:jc w:val="center"/>
                    <w:rPr>
                      <w:sz w:val="21"/>
                      <w:szCs w:val="21"/>
                    </w:rPr>
                  </w:pPr>
                  <w:r>
                    <w:rPr>
                      <w:rFonts w:hint="eastAsia"/>
                      <w:sz w:val="21"/>
                      <w:szCs w:val="21"/>
                    </w:rPr>
                    <w:t>转盘</w:t>
                  </w:r>
                </w:p>
              </w:tc>
              <w:tc>
                <w:tcPr>
                  <w:tcW w:w="1997" w:type="dxa"/>
                  <w:vAlign w:val="center"/>
                </w:tcPr>
                <w:p>
                  <w:pPr>
                    <w:spacing w:line="240" w:lineRule="auto"/>
                    <w:ind w:firstLine="0" w:firstLineChars="0"/>
                    <w:jc w:val="center"/>
                    <w:rPr>
                      <w:sz w:val="21"/>
                      <w:szCs w:val="21"/>
                    </w:rPr>
                  </w:pPr>
                  <w:r>
                    <w:rPr>
                      <w:sz w:val="21"/>
                      <w:szCs w:val="21"/>
                    </w:rPr>
                    <w:t>ZP275</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五</w:t>
                  </w:r>
                </w:p>
              </w:tc>
              <w:tc>
                <w:tcPr>
                  <w:tcW w:w="890" w:type="dxa"/>
                  <w:vMerge w:val="restart"/>
                  <w:vAlign w:val="center"/>
                </w:tcPr>
                <w:p>
                  <w:pPr>
                    <w:spacing w:line="240" w:lineRule="auto"/>
                    <w:ind w:firstLine="0" w:firstLineChars="0"/>
                    <w:jc w:val="center"/>
                    <w:rPr>
                      <w:sz w:val="21"/>
                      <w:szCs w:val="21"/>
                    </w:rPr>
                  </w:pPr>
                  <w:r>
                    <w:rPr>
                      <w:sz w:val="21"/>
                      <w:szCs w:val="21"/>
                    </w:rPr>
                    <w:t>循环系统配置</w:t>
                  </w:r>
                </w:p>
              </w:tc>
              <w:tc>
                <w:tcPr>
                  <w:tcW w:w="1472" w:type="dxa"/>
                  <w:vAlign w:val="center"/>
                </w:tcPr>
                <w:p>
                  <w:pPr>
                    <w:spacing w:line="240" w:lineRule="auto"/>
                    <w:ind w:firstLine="0" w:firstLineChars="0"/>
                    <w:jc w:val="center"/>
                    <w:rPr>
                      <w:sz w:val="21"/>
                      <w:szCs w:val="21"/>
                    </w:rPr>
                  </w:pPr>
                  <w:r>
                    <w:rPr>
                      <w:sz w:val="21"/>
                      <w:szCs w:val="21"/>
                    </w:rPr>
                    <w:t>钻井泵1#</w:t>
                  </w:r>
                </w:p>
              </w:tc>
              <w:tc>
                <w:tcPr>
                  <w:tcW w:w="1997" w:type="dxa"/>
                  <w:vAlign w:val="center"/>
                </w:tcPr>
                <w:p>
                  <w:pPr>
                    <w:spacing w:line="240" w:lineRule="auto"/>
                    <w:ind w:firstLine="0" w:firstLineChars="0"/>
                    <w:jc w:val="center"/>
                    <w:rPr>
                      <w:sz w:val="21"/>
                      <w:szCs w:val="21"/>
                    </w:rPr>
                  </w:pPr>
                  <w:r>
                    <w:rPr>
                      <w:sz w:val="21"/>
                      <w:szCs w:val="21"/>
                    </w:rPr>
                    <w:t>3NB-1300C（A）</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960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钻井泵2#</w:t>
                  </w:r>
                </w:p>
              </w:tc>
              <w:tc>
                <w:tcPr>
                  <w:tcW w:w="1997" w:type="dxa"/>
                  <w:vAlign w:val="center"/>
                </w:tcPr>
                <w:p>
                  <w:pPr>
                    <w:spacing w:line="240" w:lineRule="auto"/>
                    <w:ind w:firstLine="0" w:firstLineChars="0"/>
                    <w:jc w:val="center"/>
                    <w:rPr>
                      <w:sz w:val="21"/>
                      <w:szCs w:val="21"/>
                    </w:rPr>
                  </w:pPr>
                  <w:r>
                    <w:rPr>
                      <w:sz w:val="21"/>
                      <w:szCs w:val="21"/>
                    </w:rPr>
                    <w:t>3NB-1300C（A）</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sz w:val="21"/>
                      <w:szCs w:val="21"/>
                    </w:rPr>
                    <w:t>960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钻井泵</w:t>
                  </w:r>
                  <w:r>
                    <w:rPr>
                      <w:rFonts w:hint="eastAsia"/>
                      <w:sz w:val="21"/>
                      <w:szCs w:val="21"/>
                    </w:rPr>
                    <w:t>3</w:t>
                  </w:r>
                  <w:r>
                    <w:rPr>
                      <w:sz w:val="21"/>
                      <w:szCs w:val="21"/>
                    </w:rPr>
                    <w:t>#</w:t>
                  </w:r>
                </w:p>
              </w:tc>
              <w:tc>
                <w:tcPr>
                  <w:tcW w:w="1997" w:type="dxa"/>
                  <w:vAlign w:val="center"/>
                </w:tcPr>
                <w:p>
                  <w:pPr>
                    <w:spacing w:line="240" w:lineRule="auto"/>
                    <w:ind w:firstLine="0" w:firstLineChars="0"/>
                    <w:jc w:val="center"/>
                    <w:rPr>
                      <w:sz w:val="21"/>
                      <w:szCs w:val="21"/>
                    </w:rPr>
                  </w:pPr>
                  <w:r>
                    <w:rPr>
                      <w:sz w:val="21"/>
                      <w:szCs w:val="21"/>
                    </w:rPr>
                    <w:t>3NB-1300C（A）</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sz w:val="21"/>
                      <w:szCs w:val="21"/>
                    </w:rPr>
                    <w:t>960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搅拌器</w:t>
                  </w:r>
                </w:p>
              </w:tc>
              <w:tc>
                <w:tcPr>
                  <w:tcW w:w="1997" w:type="dxa"/>
                  <w:vAlign w:val="center"/>
                </w:tcPr>
                <w:p>
                  <w:pPr>
                    <w:spacing w:line="240" w:lineRule="auto"/>
                    <w:ind w:firstLine="0" w:firstLineChars="0"/>
                    <w:jc w:val="center"/>
                    <w:rPr>
                      <w:sz w:val="21"/>
                      <w:szCs w:val="21"/>
                    </w:rPr>
                  </w:pPr>
                  <w:r>
                    <w:rPr>
                      <w:sz w:val="21"/>
                      <w:szCs w:val="21"/>
                    </w:rPr>
                    <w:t>NJ-7.5</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12个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六</w:t>
                  </w:r>
                </w:p>
              </w:tc>
              <w:tc>
                <w:tcPr>
                  <w:tcW w:w="890" w:type="dxa"/>
                  <w:vMerge w:val="restart"/>
                  <w:vAlign w:val="center"/>
                </w:tcPr>
                <w:p>
                  <w:pPr>
                    <w:spacing w:line="240" w:lineRule="auto"/>
                    <w:ind w:firstLine="0" w:firstLineChars="0"/>
                    <w:jc w:val="center"/>
                    <w:rPr>
                      <w:sz w:val="21"/>
                      <w:szCs w:val="21"/>
                    </w:rPr>
                  </w:pPr>
                  <w:r>
                    <w:rPr>
                      <w:rFonts w:hint="eastAsia"/>
                      <w:sz w:val="21"/>
                      <w:szCs w:val="21"/>
                    </w:rPr>
                    <w:t>钻机动力系统</w:t>
                  </w:r>
                </w:p>
              </w:tc>
              <w:tc>
                <w:tcPr>
                  <w:tcW w:w="1472" w:type="dxa"/>
                  <w:vAlign w:val="center"/>
                </w:tcPr>
                <w:p>
                  <w:pPr>
                    <w:spacing w:line="240" w:lineRule="auto"/>
                    <w:ind w:firstLine="0" w:firstLineChars="0"/>
                    <w:jc w:val="center"/>
                    <w:rPr>
                      <w:sz w:val="21"/>
                      <w:szCs w:val="21"/>
                    </w:rPr>
                  </w:pPr>
                  <w:r>
                    <w:rPr>
                      <w:sz w:val="21"/>
                      <w:szCs w:val="21"/>
                    </w:rPr>
                    <w:t>柴油机1#</w:t>
                  </w:r>
                </w:p>
              </w:tc>
              <w:tc>
                <w:tcPr>
                  <w:tcW w:w="1997" w:type="dxa"/>
                  <w:vAlign w:val="center"/>
                </w:tcPr>
                <w:p>
                  <w:pPr>
                    <w:spacing w:line="240" w:lineRule="auto"/>
                    <w:ind w:firstLine="0" w:firstLineChars="0"/>
                    <w:jc w:val="center"/>
                    <w:rPr>
                      <w:sz w:val="21"/>
                      <w:szCs w:val="21"/>
                    </w:rPr>
                  </w:pPr>
                  <w:r>
                    <w:rPr>
                      <w:sz w:val="21"/>
                      <w:szCs w:val="21"/>
                    </w:rPr>
                    <w:t>GV12V190B-3</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930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柴油机</w:t>
                  </w:r>
                  <w:r>
                    <w:rPr>
                      <w:rFonts w:hint="eastAsia"/>
                      <w:sz w:val="21"/>
                      <w:szCs w:val="21"/>
                    </w:rPr>
                    <w:t>2</w:t>
                  </w:r>
                  <w:r>
                    <w:rPr>
                      <w:sz w:val="21"/>
                      <w:szCs w:val="21"/>
                    </w:rPr>
                    <w:t>#</w:t>
                  </w:r>
                </w:p>
              </w:tc>
              <w:tc>
                <w:tcPr>
                  <w:tcW w:w="1997" w:type="dxa"/>
                  <w:vAlign w:val="center"/>
                </w:tcPr>
                <w:p>
                  <w:pPr>
                    <w:spacing w:line="240" w:lineRule="auto"/>
                    <w:ind w:firstLine="0" w:firstLineChars="0"/>
                    <w:jc w:val="center"/>
                    <w:rPr>
                      <w:sz w:val="21"/>
                      <w:szCs w:val="21"/>
                    </w:rPr>
                  </w:pPr>
                  <w:r>
                    <w:rPr>
                      <w:sz w:val="21"/>
                      <w:szCs w:val="21"/>
                    </w:rPr>
                    <w:t>GV12V190B-3</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930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柴油机</w:t>
                  </w:r>
                  <w:r>
                    <w:rPr>
                      <w:rFonts w:hint="eastAsia"/>
                      <w:sz w:val="21"/>
                      <w:szCs w:val="21"/>
                    </w:rPr>
                    <w:t>3</w:t>
                  </w:r>
                  <w:r>
                    <w:rPr>
                      <w:sz w:val="21"/>
                      <w:szCs w:val="21"/>
                    </w:rPr>
                    <w:t>#</w:t>
                  </w:r>
                </w:p>
              </w:tc>
              <w:tc>
                <w:tcPr>
                  <w:tcW w:w="1997" w:type="dxa"/>
                  <w:vAlign w:val="center"/>
                </w:tcPr>
                <w:p>
                  <w:pPr>
                    <w:spacing w:line="240" w:lineRule="auto"/>
                    <w:ind w:firstLine="0" w:firstLineChars="0"/>
                    <w:jc w:val="center"/>
                    <w:rPr>
                      <w:sz w:val="21"/>
                      <w:szCs w:val="21"/>
                    </w:rPr>
                  </w:pPr>
                  <w:r>
                    <w:rPr>
                      <w:sz w:val="21"/>
                      <w:szCs w:val="21"/>
                    </w:rPr>
                    <w:t>GV12V190B-3</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930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柴油罐</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1个，20m</w:t>
                  </w:r>
                  <w:r>
                    <w:rPr>
                      <w:rFonts w:hint="eastAsia"/>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七</w:t>
                  </w:r>
                </w:p>
              </w:tc>
              <w:tc>
                <w:tcPr>
                  <w:tcW w:w="890" w:type="dxa"/>
                  <w:vMerge w:val="restart"/>
                  <w:vAlign w:val="center"/>
                </w:tcPr>
                <w:p>
                  <w:pPr>
                    <w:spacing w:line="240" w:lineRule="auto"/>
                    <w:ind w:firstLine="0" w:firstLineChars="0"/>
                    <w:jc w:val="center"/>
                    <w:rPr>
                      <w:sz w:val="21"/>
                      <w:szCs w:val="21"/>
                    </w:rPr>
                  </w:pPr>
                  <w:r>
                    <w:rPr>
                      <w:rFonts w:hint="eastAsia"/>
                      <w:sz w:val="21"/>
                      <w:szCs w:val="21"/>
                    </w:rPr>
                    <w:t>发电机组</w:t>
                  </w:r>
                </w:p>
              </w:tc>
              <w:tc>
                <w:tcPr>
                  <w:tcW w:w="1472" w:type="dxa"/>
                  <w:vAlign w:val="center"/>
                </w:tcPr>
                <w:p>
                  <w:pPr>
                    <w:spacing w:line="240" w:lineRule="auto"/>
                    <w:ind w:firstLine="0" w:firstLineChars="0"/>
                    <w:jc w:val="center"/>
                    <w:rPr>
                      <w:sz w:val="21"/>
                      <w:szCs w:val="21"/>
                    </w:rPr>
                  </w:pPr>
                  <w:r>
                    <w:rPr>
                      <w:sz w:val="21"/>
                      <w:szCs w:val="21"/>
                    </w:rPr>
                    <w:t>发电机1#</w:t>
                  </w:r>
                </w:p>
              </w:tc>
              <w:tc>
                <w:tcPr>
                  <w:tcW w:w="1997" w:type="dxa"/>
                  <w:vAlign w:val="center"/>
                </w:tcPr>
                <w:p>
                  <w:pPr>
                    <w:spacing w:line="240" w:lineRule="auto"/>
                    <w:ind w:firstLine="0" w:firstLineChars="0"/>
                    <w:jc w:val="center"/>
                    <w:rPr>
                      <w:sz w:val="21"/>
                      <w:szCs w:val="21"/>
                    </w:rPr>
                  </w:pPr>
                  <w:r>
                    <w:rPr>
                      <w:sz w:val="21"/>
                      <w:szCs w:val="21"/>
                    </w:rPr>
                    <w:t>PZ8V-190D-2</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500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发电机</w:t>
                  </w:r>
                  <w:r>
                    <w:rPr>
                      <w:rFonts w:hint="eastAsia"/>
                      <w:sz w:val="21"/>
                      <w:szCs w:val="21"/>
                    </w:rPr>
                    <w:t>2</w:t>
                  </w:r>
                  <w:r>
                    <w:rPr>
                      <w:sz w:val="21"/>
                      <w:szCs w:val="21"/>
                    </w:rPr>
                    <w:t>#</w:t>
                  </w:r>
                </w:p>
              </w:tc>
              <w:tc>
                <w:tcPr>
                  <w:tcW w:w="1997" w:type="dxa"/>
                  <w:vAlign w:val="center"/>
                </w:tcPr>
                <w:p>
                  <w:pPr>
                    <w:spacing w:line="240" w:lineRule="auto"/>
                    <w:ind w:firstLine="0" w:firstLineChars="0"/>
                    <w:jc w:val="center"/>
                    <w:rPr>
                      <w:sz w:val="21"/>
                      <w:szCs w:val="21"/>
                    </w:rPr>
                  </w:pPr>
                  <w:r>
                    <w:rPr>
                      <w:sz w:val="21"/>
                      <w:szCs w:val="21"/>
                    </w:rPr>
                    <w:t>PZ8V-190D-2</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500</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MCC房</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1座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restart"/>
                  <w:vAlign w:val="center"/>
                </w:tcPr>
                <w:p>
                  <w:pPr>
                    <w:ind w:firstLine="0" w:firstLineChars="0"/>
                    <w:jc w:val="center"/>
                    <w:rPr>
                      <w:sz w:val="21"/>
                      <w:szCs w:val="21"/>
                    </w:rPr>
                  </w:pPr>
                  <w:r>
                    <w:rPr>
                      <w:rFonts w:hint="eastAsia"/>
                      <w:sz w:val="21"/>
                      <w:szCs w:val="21"/>
                    </w:rPr>
                    <w:t>八</w:t>
                  </w:r>
                </w:p>
              </w:tc>
              <w:tc>
                <w:tcPr>
                  <w:tcW w:w="890" w:type="dxa"/>
                  <w:vMerge w:val="restart"/>
                  <w:vAlign w:val="center"/>
                </w:tcPr>
                <w:p>
                  <w:pPr>
                    <w:spacing w:line="240" w:lineRule="auto"/>
                    <w:ind w:firstLine="0" w:firstLineChars="0"/>
                    <w:jc w:val="center"/>
                    <w:rPr>
                      <w:sz w:val="21"/>
                      <w:szCs w:val="21"/>
                    </w:rPr>
                  </w:pPr>
                  <w:r>
                    <w:rPr>
                      <w:rFonts w:hint="eastAsia"/>
                      <w:sz w:val="21"/>
                      <w:szCs w:val="21"/>
                    </w:rPr>
                    <w:t>钻井控制系统</w:t>
                  </w:r>
                </w:p>
              </w:tc>
              <w:tc>
                <w:tcPr>
                  <w:tcW w:w="1472" w:type="dxa"/>
                  <w:vAlign w:val="center"/>
                </w:tcPr>
                <w:p>
                  <w:pPr>
                    <w:spacing w:line="240" w:lineRule="auto"/>
                    <w:ind w:firstLine="0" w:firstLineChars="0"/>
                    <w:jc w:val="center"/>
                    <w:rPr>
                      <w:sz w:val="21"/>
                      <w:szCs w:val="21"/>
                    </w:rPr>
                  </w:pPr>
                  <w:r>
                    <w:rPr>
                      <w:rFonts w:hint="eastAsia"/>
                      <w:sz w:val="21"/>
                      <w:szCs w:val="21"/>
                    </w:rPr>
                    <w:t>自动压风机</w:t>
                  </w:r>
                </w:p>
              </w:tc>
              <w:tc>
                <w:tcPr>
                  <w:tcW w:w="1997" w:type="dxa"/>
                  <w:vAlign w:val="center"/>
                </w:tcPr>
                <w:p>
                  <w:pPr>
                    <w:spacing w:line="240" w:lineRule="auto"/>
                    <w:ind w:firstLine="0" w:firstLineChars="0"/>
                    <w:jc w:val="center"/>
                    <w:rPr>
                      <w:sz w:val="21"/>
                      <w:szCs w:val="21"/>
                    </w:rPr>
                  </w:pPr>
                  <w:r>
                    <w:rPr>
                      <w:sz w:val="21"/>
                      <w:szCs w:val="21"/>
                    </w:rPr>
                    <w:t>2V6.5/12</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55</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电动压风机</w:t>
                  </w:r>
                </w:p>
              </w:tc>
              <w:tc>
                <w:tcPr>
                  <w:tcW w:w="1997" w:type="dxa"/>
                  <w:vAlign w:val="center"/>
                </w:tcPr>
                <w:p>
                  <w:pPr>
                    <w:spacing w:line="240" w:lineRule="auto"/>
                    <w:ind w:firstLine="0" w:firstLineChars="0"/>
                    <w:jc w:val="center"/>
                    <w:rPr>
                      <w:sz w:val="21"/>
                      <w:szCs w:val="21"/>
                    </w:rPr>
                  </w:pPr>
                  <w:r>
                    <w:rPr>
                      <w:sz w:val="21"/>
                      <w:szCs w:val="21"/>
                    </w:rPr>
                    <w:t>2V6.5/12</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55</w:t>
                  </w:r>
                </w:p>
              </w:tc>
              <w:tc>
                <w:tcPr>
                  <w:tcW w:w="1022" w:type="dxa"/>
                  <w:vAlign w:val="center"/>
                </w:tcPr>
                <w:p>
                  <w:pPr>
                    <w:spacing w:line="240" w:lineRule="auto"/>
                    <w:ind w:firstLine="0" w:firstLineChars="0"/>
                    <w:jc w:val="center"/>
                    <w:rPr>
                      <w:sz w:val="21"/>
                      <w:szCs w:val="21"/>
                    </w:rPr>
                  </w:pPr>
                  <w:r>
                    <w:rPr>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九</w:t>
                  </w:r>
                </w:p>
              </w:tc>
              <w:tc>
                <w:tcPr>
                  <w:tcW w:w="890" w:type="dxa"/>
                  <w:vMerge w:val="restart"/>
                  <w:vAlign w:val="center"/>
                </w:tcPr>
                <w:p>
                  <w:pPr>
                    <w:spacing w:line="240" w:lineRule="auto"/>
                    <w:ind w:firstLine="0" w:firstLineChars="0"/>
                    <w:jc w:val="center"/>
                    <w:rPr>
                      <w:sz w:val="21"/>
                      <w:szCs w:val="21"/>
                    </w:rPr>
                  </w:pPr>
                  <w:r>
                    <w:rPr>
                      <w:rFonts w:hint="eastAsia"/>
                      <w:sz w:val="21"/>
                      <w:szCs w:val="21"/>
                    </w:rPr>
                    <w:t>固控系统</w:t>
                  </w:r>
                </w:p>
              </w:tc>
              <w:tc>
                <w:tcPr>
                  <w:tcW w:w="1472" w:type="dxa"/>
                  <w:vAlign w:val="center"/>
                </w:tcPr>
                <w:p>
                  <w:pPr>
                    <w:spacing w:line="240" w:lineRule="auto"/>
                    <w:ind w:firstLine="0" w:firstLineChars="0"/>
                    <w:jc w:val="center"/>
                    <w:rPr>
                      <w:sz w:val="21"/>
                      <w:szCs w:val="21"/>
                    </w:rPr>
                  </w:pPr>
                  <w:r>
                    <w:rPr>
                      <w:sz w:val="21"/>
                      <w:szCs w:val="21"/>
                    </w:rPr>
                    <w:t>振动筛1#</w:t>
                  </w:r>
                </w:p>
              </w:tc>
              <w:tc>
                <w:tcPr>
                  <w:tcW w:w="1997" w:type="dxa"/>
                  <w:vMerge w:val="restart"/>
                  <w:vAlign w:val="center"/>
                </w:tcPr>
                <w:p>
                  <w:pPr>
                    <w:spacing w:line="480" w:lineRule="auto"/>
                    <w:ind w:firstLine="0" w:firstLineChars="0"/>
                    <w:jc w:val="center"/>
                    <w:rPr>
                      <w:sz w:val="21"/>
                      <w:szCs w:val="21"/>
                    </w:rPr>
                  </w:pPr>
                  <w:r>
                    <w:rPr>
                      <w:sz w:val="21"/>
                      <w:szCs w:val="21"/>
                    </w:rPr>
                    <w:t>J1/A-2/E48-90F-3TA</w:t>
                  </w:r>
                </w:p>
              </w:tc>
              <w:tc>
                <w:tcPr>
                  <w:tcW w:w="1106" w:type="dxa"/>
                  <w:vMerge w:val="restart"/>
                  <w:vAlign w:val="center"/>
                </w:tcPr>
                <w:p>
                  <w:pPr>
                    <w:spacing w:line="240" w:lineRule="auto"/>
                    <w:ind w:firstLine="0" w:firstLineChars="0"/>
                    <w:jc w:val="center"/>
                    <w:rPr>
                      <w:sz w:val="21"/>
                      <w:szCs w:val="21"/>
                    </w:rPr>
                  </w:pPr>
                  <w:r>
                    <w:rPr>
                      <w:rFonts w:hint="eastAsia"/>
                      <w:sz w:val="21"/>
                      <w:szCs w:val="21"/>
                    </w:rPr>
                    <w:t>-</w:t>
                  </w:r>
                </w:p>
              </w:tc>
              <w:tc>
                <w:tcPr>
                  <w:tcW w:w="1106" w:type="dxa"/>
                  <w:vMerge w:val="restart"/>
                  <w:vAlign w:val="center"/>
                </w:tcPr>
                <w:p>
                  <w:pPr>
                    <w:spacing w:line="240" w:lineRule="auto"/>
                    <w:ind w:firstLine="0" w:firstLineChars="0"/>
                    <w:jc w:val="center"/>
                    <w:rPr>
                      <w:sz w:val="21"/>
                      <w:szCs w:val="21"/>
                    </w:rPr>
                  </w:pPr>
                  <w:r>
                    <w:rPr>
                      <w:rFonts w:hint="eastAsia"/>
                      <w:sz w:val="21"/>
                      <w:szCs w:val="21"/>
                    </w:rPr>
                    <w:t>-</w:t>
                  </w:r>
                </w:p>
              </w:tc>
              <w:tc>
                <w:tcPr>
                  <w:tcW w:w="1022" w:type="dxa"/>
                  <w:vMerge w:val="restart"/>
                  <w:vAlign w:val="center"/>
                </w:tcPr>
                <w:p>
                  <w:pPr>
                    <w:spacing w:line="240" w:lineRule="auto"/>
                    <w:ind w:firstLine="0" w:firstLineChars="0"/>
                    <w:jc w:val="center"/>
                    <w:rPr>
                      <w:sz w:val="21"/>
                      <w:szCs w:val="21"/>
                    </w:rPr>
                  </w:pPr>
                  <w:r>
                    <w:rPr>
                      <w:rFonts w:hint="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振动筛</w:t>
                  </w:r>
                  <w:r>
                    <w:rPr>
                      <w:rFonts w:hint="eastAsia"/>
                      <w:sz w:val="21"/>
                      <w:szCs w:val="21"/>
                    </w:rPr>
                    <w:t>2</w:t>
                  </w:r>
                  <w:r>
                    <w:rPr>
                      <w:sz w:val="21"/>
                      <w:szCs w:val="21"/>
                    </w:rPr>
                    <w:t>#</w:t>
                  </w:r>
                </w:p>
              </w:tc>
              <w:tc>
                <w:tcPr>
                  <w:tcW w:w="1997" w:type="dxa"/>
                  <w:vMerge w:val="continue"/>
                  <w:vAlign w:val="center"/>
                </w:tcPr>
                <w:p>
                  <w:pPr>
                    <w:spacing w:line="240" w:lineRule="auto"/>
                    <w:ind w:firstLine="420"/>
                    <w:jc w:val="center"/>
                    <w:rPr>
                      <w:sz w:val="21"/>
                      <w:szCs w:val="21"/>
                    </w:rPr>
                  </w:pPr>
                </w:p>
              </w:tc>
              <w:tc>
                <w:tcPr>
                  <w:tcW w:w="1106" w:type="dxa"/>
                  <w:vMerge w:val="continue"/>
                  <w:vAlign w:val="center"/>
                </w:tcPr>
                <w:p>
                  <w:pPr>
                    <w:spacing w:line="240" w:lineRule="auto"/>
                    <w:ind w:firstLine="420"/>
                    <w:jc w:val="center"/>
                    <w:rPr>
                      <w:sz w:val="21"/>
                      <w:szCs w:val="21"/>
                    </w:rPr>
                  </w:pPr>
                </w:p>
              </w:tc>
              <w:tc>
                <w:tcPr>
                  <w:tcW w:w="1106" w:type="dxa"/>
                  <w:vMerge w:val="continue"/>
                  <w:vAlign w:val="center"/>
                </w:tcPr>
                <w:p>
                  <w:pPr>
                    <w:spacing w:line="240" w:lineRule="auto"/>
                    <w:ind w:firstLine="420"/>
                    <w:jc w:val="center"/>
                    <w:rPr>
                      <w:sz w:val="21"/>
                      <w:szCs w:val="21"/>
                    </w:rPr>
                  </w:pPr>
                </w:p>
              </w:tc>
              <w:tc>
                <w:tcPr>
                  <w:tcW w:w="1022" w:type="dxa"/>
                  <w:vMerge w:val="continue"/>
                  <w:vAlign w:val="center"/>
                </w:tcPr>
                <w:p>
                  <w:pPr>
                    <w:spacing w:line="240" w:lineRule="auto"/>
                    <w:ind w:firstLine="42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除砂器</w:t>
                  </w:r>
                </w:p>
              </w:tc>
              <w:tc>
                <w:tcPr>
                  <w:tcW w:w="1997" w:type="dxa"/>
                  <w:vMerge w:val="restart"/>
                  <w:vAlign w:val="center"/>
                </w:tcPr>
                <w:p>
                  <w:pPr>
                    <w:spacing w:line="240" w:lineRule="auto"/>
                    <w:ind w:firstLine="0" w:firstLineChars="0"/>
                    <w:jc w:val="center"/>
                    <w:rPr>
                      <w:sz w:val="21"/>
                      <w:szCs w:val="21"/>
                    </w:rPr>
                  </w:pPr>
                  <w:r>
                    <w:rPr>
                      <w:sz w:val="21"/>
                      <w:szCs w:val="21"/>
                    </w:rPr>
                    <w:t>ZQG125×8</w:t>
                  </w:r>
                </w:p>
                <w:p>
                  <w:pPr>
                    <w:spacing w:line="240" w:lineRule="auto"/>
                    <w:ind w:firstLine="420"/>
                    <w:jc w:val="center"/>
                    <w:rPr>
                      <w:sz w:val="21"/>
                      <w:szCs w:val="21"/>
                    </w:rPr>
                  </w:pPr>
                </w:p>
              </w:tc>
              <w:tc>
                <w:tcPr>
                  <w:tcW w:w="1106" w:type="dxa"/>
                  <w:vMerge w:val="restart"/>
                  <w:vAlign w:val="center"/>
                </w:tcPr>
                <w:p>
                  <w:pPr>
                    <w:spacing w:line="240" w:lineRule="auto"/>
                    <w:ind w:firstLine="420"/>
                    <w:jc w:val="center"/>
                    <w:rPr>
                      <w:sz w:val="21"/>
                      <w:szCs w:val="21"/>
                    </w:rPr>
                  </w:pPr>
                </w:p>
              </w:tc>
              <w:tc>
                <w:tcPr>
                  <w:tcW w:w="1106" w:type="dxa"/>
                  <w:vAlign w:val="center"/>
                </w:tcPr>
                <w:p>
                  <w:pPr>
                    <w:spacing w:line="240" w:lineRule="auto"/>
                    <w:ind w:firstLine="0" w:firstLineChars="0"/>
                    <w:jc w:val="center"/>
                    <w:rPr>
                      <w:sz w:val="21"/>
                      <w:szCs w:val="21"/>
                    </w:rPr>
                  </w:pPr>
                  <w:r>
                    <w:rPr>
                      <w:rFonts w:hint="eastAsia"/>
                      <w:sz w:val="21"/>
                      <w:szCs w:val="21"/>
                    </w:rPr>
                    <w:t>55</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除泥器</w:t>
                  </w:r>
                </w:p>
              </w:tc>
              <w:tc>
                <w:tcPr>
                  <w:tcW w:w="1997" w:type="dxa"/>
                  <w:vMerge w:val="continue"/>
                  <w:vAlign w:val="center"/>
                </w:tcPr>
                <w:p>
                  <w:pPr>
                    <w:spacing w:line="240" w:lineRule="auto"/>
                    <w:ind w:firstLine="420"/>
                    <w:jc w:val="center"/>
                    <w:rPr>
                      <w:sz w:val="21"/>
                      <w:szCs w:val="21"/>
                    </w:rPr>
                  </w:pPr>
                </w:p>
              </w:tc>
              <w:tc>
                <w:tcPr>
                  <w:tcW w:w="1106" w:type="dxa"/>
                  <w:vMerge w:val="continue"/>
                  <w:vAlign w:val="center"/>
                </w:tcPr>
                <w:p>
                  <w:pPr>
                    <w:spacing w:line="240" w:lineRule="auto"/>
                    <w:ind w:firstLine="420"/>
                    <w:jc w:val="center"/>
                    <w:rPr>
                      <w:sz w:val="21"/>
                      <w:szCs w:val="21"/>
                    </w:rPr>
                  </w:pPr>
                </w:p>
              </w:tc>
              <w:tc>
                <w:tcPr>
                  <w:tcW w:w="1106" w:type="dxa"/>
                  <w:vAlign w:val="center"/>
                </w:tcPr>
                <w:p>
                  <w:pPr>
                    <w:spacing w:line="240" w:lineRule="auto"/>
                    <w:ind w:firstLine="0" w:firstLineChars="0"/>
                    <w:jc w:val="center"/>
                    <w:rPr>
                      <w:sz w:val="21"/>
                      <w:szCs w:val="21"/>
                    </w:rPr>
                  </w:pPr>
                  <w:r>
                    <w:rPr>
                      <w:rFonts w:hint="eastAsia"/>
                      <w:sz w:val="21"/>
                      <w:szCs w:val="21"/>
                    </w:rPr>
                    <w:t>3</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rFonts w:hint="eastAsia"/>
                      <w:sz w:val="21"/>
                      <w:szCs w:val="21"/>
                    </w:rPr>
                    <w:t>离心机</w:t>
                  </w:r>
                </w:p>
              </w:tc>
              <w:tc>
                <w:tcPr>
                  <w:tcW w:w="1997" w:type="dxa"/>
                  <w:vAlign w:val="center"/>
                </w:tcPr>
                <w:p>
                  <w:pPr>
                    <w:spacing w:line="240" w:lineRule="auto"/>
                    <w:ind w:firstLine="0" w:firstLineChars="0"/>
                    <w:jc w:val="center"/>
                    <w:rPr>
                      <w:sz w:val="21"/>
                      <w:szCs w:val="21"/>
                    </w:rPr>
                  </w:pPr>
                  <w:r>
                    <w:rPr>
                      <w:sz w:val="21"/>
                      <w:szCs w:val="21"/>
                    </w:rPr>
                    <w:t>LW355×860-N</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24</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十</w:t>
                  </w:r>
                </w:p>
              </w:tc>
              <w:tc>
                <w:tcPr>
                  <w:tcW w:w="890" w:type="dxa"/>
                  <w:vMerge w:val="restart"/>
                  <w:vAlign w:val="center"/>
                </w:tcPr>
                <w:p>
                  <w:pPr>
                    <w:spacing w:line="240" w:lineRule="auto"/>
                    <w:ind w:firstLine="0" w:firstLineChars="0"/>
                    <w:jc w:val="center"/>
                    <w:rPr>
                      <w:sz w:val="21"/>
                      <w:szCs w:val="21"/>
                    </w:rPr>
                  </w:pPr>
                  <w:r>
                    <w:rPr>
                      <w:rFonts w:hint="eastAsia"/>
                      <w:sz w:val="21"/>
                      <w:szCs w:val="21"/>
                    </w:rPr>
                    <w:t>加重装置</w:t>
                  </w:r>
                </w:p>
              </w:tc>
              <w:tc>
                <w:tcPr>
                  <w:tcW w:w="1472" w:type="dxa"/>
                  <w:vAlign w:val="center"/>
                </w:tcPr>
                <w:p>
                  <w:pPr>
                    <w:spacing w:line="240" w:lineRule="auto"/>
                    <w:ind w:firstLine="0" w:firstLineChars="0"/>
                    <w:jc w:val="center"/>
                    <w:rPr>
                      <w:sz w:val="21"/>
                      <w:szCs w:val="21"/>
                    </w:rPr>
                  </w:pPr>
                  <w:r>
                    <w:rPr>
                      <w:sz w:val="21"/>
                      <w:szCs w:val="21"/>
                    </w:rPr>
                    <w:t>加重漏斗</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电动加重泵</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气动下灰装置</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十一</w:t>
                  </w:r>
                </w:p>
              </w:tc>
              <w:tc>
                <w:tcPr>
                  <w:tcW w:w="890" w:type="dxa"/>
                  <w:vMerge w:val="restart"/>
                  <w:vAlign w:val="center"/>
                </w:tcPr>
                <w:p>
                  <w:pPr>
                    <w:spacing w:line="240" w:lineRule="auto"/>
                    <w:ind w:firstLine="0" w:firstLineChars="0"/>
                    <w:jc w:val="center"/>
                    <w:rPr>
                      <w:sz w:val="21"/>
                      <w:szCs w:val="21"/>
                    </w:rPr>
                  </w:pPr>
                  <w:r>
                    <w:rPr>
                      <w:rFonts w:hint="eastAsia"/>
                      <w:sz w:val="21"/>
                      <w:szCs w:val="21"/>
                    </w:rPr>
                    <w:t>井控系统</w:t>
                  </w:r>
                </w:p>
              </w:tc>
              <w:tc>
                <w:tcPr>
                  <w:tcW w:w="1472" w:type="dxa"/>
                  <w:vAlign w:val="center"/>
                </w:tcPr>
                <w:p>
                  <w:pPr>
                    <w:spacing w:line="240" w:lineRule="auto"/>
                    <w:ind w:firstLine="0" w:firstLineChars="0"/>
                    <w:jc w:val="center"/>
                    <w:rPr>
                      <w:sz w:val="21"/>
                      <w:szCs w:val="21"/>
                    </w:rPr>
                  </w:pPr>
                  <w:r>
                    <w:rPr>
                      <w:sz w:val="21"/>
                      <w:szCs w:val="21"/>
                    </w:rPr>
                    <w:t>双闸板防喷器</w:t>
                  </w:r>
                </w:p>
              </w:tc>
              <w:tc>
                <w:tcPr>
                  <w:tcW w:w="1997" w:type="dxa"/>
                  <w:vAlign w:val="center"/>
                </w:tcPr>
                <w:p>
                  <w:pPr>
                    <w:spacing w:line="240" w:lineRule="auto"/>
                    <w:ind w:firstLine="0" w:firstLineChars="0"/>
                    <w:jc w:val="center"/>
                    <w:rPr>
                      <w:sz w:val="21"/>
                      <w:szCs w:val="21"/>
                    </w:rPr>
                  </w:pPr>
                  <w:r>
                    <w:rPr>
                      <w:sz w:val="21"/>
                      <w:szCs w:val="21"/>
                    </w:rPr>
                    <w:t>2FZ35-35</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控制装置</w:t>
                  </w:r>
                </w:p>
              </w:tc>
              <w:tc>
                <w:tcPr>
                  <w:tcW w:w="1997" w:type="dxa"/>
                  <w:vAlign w:val="center"/>
                </w:tcPr>
                <w:p>
                  <w:pPr>
                    <w:spacing w:line="240" w:lineRule="auto"/>
                    <w:ind w:firstLine="0" w:firstLineChars="0"/>
                    <w:jc w:val="center"/>
                    <w:rPr>
                      <w:sz w:val="21"/>
                      <w:szCs w:val="21"/>
                    </w:rPr>
                  </w:pPr>
                  <w:r>
                    <w:rPr>
                      <w:sz w:val="21"/>
                      <w:szCs w:val="21"/>
                    </w:rPr>
                    <w:t>FKQ5606</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节流管汇</w:t>
                  </w:r>
                </w:p>
              </w:tc>
              <w:tc>
                <w:tcPr>
                  <w:tcW w:w="1997" w:type="dxa"/>
                  <w:vAlign w:val="center"/>
                </w:tcPr>
                <w:p>
                  <w:pPr>
                    <w:spacing w:line="240" w:lineRule="auto"/>
                    <w:ind w:firstLine="0" w:firstLineChars="0"/>
                    <w:jc w:val="center"/>
                    <w:rPr>
                      <w:sz w:val="21"/>
                      <w:szCs w:val="21"/>
                    </w:rPr>
                  </w:pPr>
                  <w:r>
                    <w:rPr>
                      <w:sz w:val="21"/>
                      <w:szCs w:val="21"/>
                    </w:rPr>
                    <w:t>JG-35</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压井管汇</w:t>
                  </w:r>
                </w:p>
              </w:tc>
              <w:tc>
                <w:tcPr>
                  <w:tcW w:w="1997" w:type="dxa"/>
                  <w:vAlign w:val="center"/>
                </w:tcPr>
                <w:p>
                  <w:pPr>
                    <w:spacing w:line="240" w:lineRule="auto"/>
                    <w:ind w:firstLine="0" w:firstLineChars="0"/>
                    <w:jc w:val="center"/>
                    <w:rPr>
                      <w:sz w:val="21"/>
                      <w:szCs w:val="21"/>
                    </w:rPr>
                  </w:pPr>
                  <w:r>
                    <w:rPr>
                      <w:sz w:val="21"/>
                      <w:szCs w:val="21"/>
                    </w:rPr>
                    <w:t>YG-35</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除气器</w:t>
                  </w:r>
                </w:p>
              </w:tc>
              <w:tc>
                <w:tcPr>
                  <w:tcW w:w="1997" w:type="dxa"/>
                  <w:vAlign w:val="center"/>
                </w:tcPr>
                <w:p>
                  <w:pPr>
                    <w:spacing w:line="240" w:lineRule="auto"/>
                    <w:ind w:firstLine="0" w:firstLineChars="0"/>
                    <w:jc w:val="center"/>
                    <w:rPr>
                      <w:sz w:val="21"/>
                      <w:szCs w:val="21"/>
                    </w:rPr>
                  </w:pPr>
                  <w:r>
                    <w:rPr>
                      <w:sz w:val="21"/>
                      <w:szCs w:val="21"/>
                    </w:rPr>
                    <w:t>ZCQ2-1/4</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11</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43" w:type="dxa"/>
                  <w:vMerge w:val="restart"/>
                  <w:vAlign w:val="center"/>
                </w:tcPr>
                <w:p>
                  <w:pPr>
                    <w:spacing w:line="240" w:lineRule="auto"/>
                    <w:ind w:firstLine="0" w:firstLineChars="0"/>
                    <w:jc w:val="center"/>
                    <w:rPr>
                      <w:sz w:val="21"/>
                      <w:szCs w:val="21"/>
                    </w:rPr>
                  </w:pPr>
                  <w:r>
                    <w:rPr>
                      <w:rFonts w:hint="eastAsia"/>
                      <w:sz w:val="21"/>
                      <w:szCs w:val="21"/>
                    </w:rPr>
                    <w:t>十二</w:t>
                  </w:r>
                </w:p>
              </w:tc>
              <w:tc>
                <w:tcPr>
                  <w:tcW w:w="890" w:type="dxa"/>
                  <w:vMerge w:val="restart"/>
                  <w:vAlign w:val="center"/>
                </w:tcPr>
                <w:p>
                  <w:pPr>
                    <w:spacing w:line="240" w:lineRule="auto"/>
                    <w:ind w:firstLine="0" w:firstLineChars="0"/>
                    <w:jc w:val="center"/>
                    <w:rPr>
                      <w:sz w:val="21"/>
                      <w:szCs w:val="21"/>
                    </w:rPr>
                  </w:pPr>
                  <w:r>
                    <w:rPr>
                      <w:rFonts w:hint="eastAsia"/>
                      <w:sz w:val="21"/>
                      <w:szCs w:val="21"/>
                    </w:rPr>
                    <w:t>仪器仪表</w:t>
                  </w:r>
                </w:p>
              </w:tc>
              <w:tc>
                <w:tcPr>
                  <w:tcW w:w="1472" w:type="dxa"/>
                  <w:vAlign w:val="center"/>
                </w:tcPr>
                <w:p>
                  <w:pPr>
                    <w:spacing w:line="240" w:lineRule="auto"/>
                    <w:ind w:firstLine="0" w:firstLineChars="0"/>
                    <w:jc w:val="center"/>
                    <w:rPr>
                      <w:sz w:val="21"/>
                      <w:szCs w:val="21"/>
                    </w:rPr>
                  </w:pPr>
                  <w:r>
                    <w:rPr>
                      <w:sz w:val="21"/>
                      <w:szCs w:val="21"/>
                    </w:rPr>
                    <w:t>钻井参数仪表</w:t>
                  </w:r>
                </w:p>
              </w:tc>
              <w:tc>
                <w:tcPr>
                  <w:tcW w:w="1997" w:type="dxa"/>
                  <w:vAlign w:val="center"/>
                </w:tcPr>
                <w:p>
                  <w:pPr>
                    <w:spacing w:line="240" w:lineRule="auto"/>
                    <w:ind w:firstLine="0" w:firstLineChars="0"/>
                    <w:jc w:val="center"/>
                    <w:rPr>
                      <w:sz w:val="21"/>
                      <w:szCs w:val="21"/>
                    </w:rPr>
                  </w:pPr>
                  <w:r>
                    <w:rPr>
                      <w:sz w:val="21"/>
                      <w:szCs w:val="21"/>
                    </w:rPr>
                    <w:t>多参数仪</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测斜仪</w:t>
                  </w:r>
                </w:p>
              </w:tc>
              <w:tc>
                <w:tcPr>
                  <w:tcW w:w="1997" w:type="dxa"/>
                  <w:vAlign w:val="center"/>
                </w:tcPr>
                <w:p>
                  <w:pPr>
                    <w:spacing w:line="240" w:lineRule="auto"/>
                    <w:ind w:firstLine="0" w:firstLineChars="0"/>
                    <w:jc w:val="center"/>
                    <w:rPr>
                      <w:sz w:val="21"/>
                      <w:szCs w:val="21"/>
                    </w:rPr>
                  </w:pPr>
                  <w:r>
                    <w:rPr>
                      <w:sz w:val="21"/>
                      <w:szCs w:val="21"/>
                    </w:rPr>
                    <w:t>自浮式单点测斜仪</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43" w:type="dxa"/>
                  <w:vMerge w:val="continue"/>
                  <w:vAlign w:val="center"/>
                </w:tcPr>
                <w:p>
                  <w:pPr>
                    <w:spacing w:line="240" w:lineRule="auto"/>
                    <w:ind w:firstLine="420"/>
                    <w:jc w:val="center"/>
                    <w:rPr>
                      <w:sz w:val="21"/>
                      <w:szCs w:val="21"/>
                    </w:rPr>
                  </w:pPr>
                </w:p>
              </w:tc>
              <w:tc>
                <w:tcPr>
                  <w:tcW w:w="890" w:type="dxa"/>
                  <w:vMerge w:val="continue"/>
                  <w:vAlign w:val="center"/>
                </w:tcPr>
                <w:p>
                  <w:pPr>
                    <w:spacing w:line="240" w:lineRule="auto"/>
                    <w:ind w:firstLine="420"/>
                    <w:jc w:val="center"/>
                    <w:rPr>
                      <w:sz w:val="21"/>
                      <w:szCs w:val="21"/>
                    </w:rPr>
                  </w:pPr>
                </w:p>
              </w:tc>
              <w:tc>
                <w:tcPr>
                  <w:tcW w:w="1472" w:type="dxa"/>
                  <w:vAlign w:val="center"/>
                </w:tcPr>
                <w:p>
                  <w:pPr>
                    <w:spacing w:line="240" w:lineRule="auto"/>
                    <w:ind w:firstLine="0" w:firstLineChars="0"/>
                    <w:jc w:val="center"/>
                    <w:rPr>
                      <w:sz w:val="21"/>
                      <w:szCs w:val="21"/>
                    </w:rPr>
                  </w:pPr>
                  <w:r>
                    <w:rPr>
                      <w:sz w:val="21"/>
                      <w:szCs w:val="21"/>
                    </w:rPr>
                    <w:t>硫化氢监测仪</w:t>
                  </w:r>
                </w:p>
              </w:tc>
              <w:tc>
                <w:tcPr>
                  <w:tcW w:w="1997" w:type="dxa"/>
                  <w:vAlign w:val="center"/>
                </w:tcPr>
                <w:p>
                  <w:pPr>
                    <w:spacing w:line="240" w:lineRule="auto"/>
                    <w:ind w:firstLine="0" w:firstLineChars="0"/>
                    <w:jc w:val="center"/>
                    <w:rPr>
                      <w:sz w:val="21"/>
                      <w:szCs w:val="21"/>
                    </w:rPr>
                  </w:pPr>
                  <w:r>
                    <w:rPr>
                      <w:sz w:val="21"/>
                      <w:szCs w:val="21"/>
                    </w:rPr>
                    <w:t>便携式</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rFonts w:hint="eastAsia"/>
                      <w:sz w:val="21"/>
                      <w:szCs w:val="21"/>
                    </w:rPr>
                    <w:t>≥3套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十三</w:t>
                  </w:r>
                </w:p>
              </w:tc>
              <w:tc>
                <w:tcPr>
                  <w:tcW w:w="2362" w:type="dxa"/>
                  <w:gridSpan w:val="2"/>
                  <w:vAlign w:val="center"/>
                </w:tcPr>
                <w:p>
                  <w:pPr>
                    <w:spacing w:line="240" w:lineRule="auto"/>
                    <w:ind w:firstLine="0" w:firstLineChars="0"/>
                    <w:jc w:val="center"/>
                    <w:rPr>
                      <w:sz w:val="21"/>
                      <w:szCs w:val="21"/>
                    </w:rPr>
                  </w:pPr>
                  <w:r>
                    <w:rPr>
                      <w:sz w:val="21"/>
                      <w:szCs w:val="21"/>
                    </w:rPr>
                    <w:t>液压大钳</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十四</w:t>
                  </w:r>
                </w:p>
              </w:tc>
              <w:tc>
                <w:tcPr>
                  <w:tcW w:w="2362" w:type="dxa"/>
                  <w:gridSpan w:val="2"/>
                  <w:vAlign w:val="center"/>
                </w:tcPr>
                <w:p>
                  <w:pPr>
                    <w:spacing w:line="240" w:lineRule="auto"/>
                    <w:ind w:firstLine="0" w:firstLineChars="0"/>
                    <w:jc w:val="center"/>
                    <w:rPr>
                      <w:sz w:val="21"/>
                      <w:szCs w:val="21"/>
                    </w:rPr>
                  </w:pPr>
                  <w:r>
                    <w:rPr>
                      <w:sz w:val="21"/>
                      <w:szCs w:val="21"/>
                    </w:rPr>
                    <w:t>不落地系统</w:t>
                  </w:r>
                </w:p>
              </w:tc>
              <w:tc>
                <w:tcPr>
                  <w:tcW w:w="1997"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106" w:type="dxa"/>
                  <w:vAlign w:val="center"/>
                </w:tcPr>
                <w:p>
                  <w:pPr>
                    <w:spacing w:line="240" w:lineRule="auto"/>
                    <w:ind w:firstLine="0" w:firstLineChars="0"/>
                    <w:jc w:val="center"/>
                    <w:rPr>
                      <w:sz w:val="21"/>
                      <w:szCs w:val="21"/>
                    </w:rPr>
                  </w:pPr>
                  <w:r>
                    <w:rPr>
                      <w:rFonts w:hint="eastAsia"/>
                      <w:sz w:val="21"/>
                      <w:szCs w:val="21"/>
                    </w:rPr>
                    <w:t>-</w:t>
                  </w:r>
                </w:p>
              </w:tc>
              <w:tc>
                <w:tcPr>
                  <w:tcW w:w="1022" w:type="dxa"/>
                  <w:vAlign w:val="center"/>
                </w:tcPr>
                <w:p>
                  <w:pPr>
                    <w:spacing w:line="240" w:lineRule="auto"/>
                    <w:ind w:firstLine="0" w:firstLineChars="0"/>
                    <w:jc w:val="center"/>
                    <w:rPr>
                      <w:sz w:val="21"/>
                      <w:szCs w:val="21"/>
                    </w:rPr>
                  </w:pPr>
                  <w:r>
                    <w:rPr>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十五</w:t>
                  </w:r>
                </w:p>
              </w:tc>
              <w:tc>
                <w:tcPr>
                  <w:tcW w:w="2362" w:type="dxa"/>
                  <w:gridSpan w:val="2"/>
                  <w:vAlign w:val="center"/>
                </w:tcPr>
                <w:p>
                  <w:pPr>
                    <w:spacing w:line="240" w:lineRule="auto"/>
                    <w:ind w:firstLine="0" w:firstLineChars="0"/>
                    <w:jc w:val="center"/>
                    <w:rPr>
                      <w:sz w:val="21"/>
                      <w:szCs w:val="21"/>
                    </w:rPr>
                  </w:pPr>
                  <w:r>
                    <w:rPr>
                      <w:rFonts w:hint="eastAsia"/>
                      <w:sz w:val="21"/>
                      <w:szCs w:val="21"/>
                    </w:rPr>
                    <w:t>净化罐</w:t>
                  </w:r>
                </w:p>
              </w:tc>
              <w:tc>
                <w:tcPr>
                  <w:tcW w:w="1997" w:type="dxa"/>
                  <w:vAlign w:val="center"/>
                </w:tcPr>
                <w:p>
                  <w:pPr>
                    <w:spacing w:line="240" w:lineRule="auto"/>
                    <w:ind w:firstLine="0" w:firstLineChars="0"/>
                    <w:jc w:val="center"/>
                    <w:rPr>
                      <w:sz w:val="21"/>
                      <w:szCs w:val="21"/>
                    </w:rPr>
                  </w:pPr>
                  <w:r>
                    <w:rPr>
                      <w:rFonts w:hint="eastAsia"/>
                      <w:sz w:val="21"/>
                      <w:szCs w:val="21"/>
                    </w:rPr>
                    <w:t>40m</w:t>
                  </w:r>
                  <w:r>
                    <w:rPr>
                      <w:rFonts w:hint="eastAsia"/>
                      <w:sz w:val="21"/>
                      <w:szCs w:val="21"/>
                      <w:vertAlign w:val="superscript"/>
                    </w:rPr>
                    <w:t>3</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022" w:type="dxa"/>
                  <w:vAlign w:val="center"/>
                </w:tcPr>
                <w:p>
                  <w:pPr>
                    <w:spacing w:line="240" w:lineRule="auto"/>
                    <w:ind w:firstLine="0" w:firstLineChars="0"/>
                    <w:jc w:val="center"/>
                    <w:rPr>
                      <w:sz w:val="21"/>
                      <w:szCs w:val="21"/>
                    </w:rPr>
                  </w:pPr>
                  <w:r>
                    <w:rPr>
                      <w:rFonts w:hint="eastAsia"/>
                      <w:sz w:val="21"/>
                      <w:szCs w:val="21"/>
                    </w:rPr>
                    <w:t>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十六</w:t>
                  </w:r>
                </w:p>
              </w:tc>
              <w:tc>
                <w:tcPr>
                  <w:tcW w:w="2362" w:type="dxa"/>
                  <w:gridSpan w:val="2"/>
                  <w:vAlign w:val="center"/>
                </w:tcPr>
                <w:p>
                  <w:pPr>
                    <w:spacing w:line="240" w:lineRule="auto"/>
                    <w:ind w:firstLine="0" w:firstLineChars="0"/>
                    <w:jc w:val="center"/>
                    <w:rPr>
                      <w:sz w:val="21"/>
                      <w:szCs w:val="21"/>
                    </w:rPr>
                  </w:pPr>
                  <w:r>
                    <w:rPr>
                      <w:rFonts w:hint="eastAsia"/>
                      <w:sz w:val="21"/>
                      <w:szCs w:val="21"/>
                    </w:rPr>
                    <w:t>套装水罐</w:t>
                  </w:r>
                </w:p>
              </w:tc>
              <w:tc>
                <w:tcPr>
                  <w:tcW w:w="1997" w:type="dxa"/>
                  <w:vAlign w:val="center"/>
                </w:tcPr>
                <w:p>
                  <w:pPr>
                    <w:spacing w:line="240" w:lineRule="auto"/>
                    <w:ind w:firstLine="0" w:firstLineChars="0"/>
                    <w:jc w:val="center"/>
                    <w:rPr>
                      <w:sz w:val="21"/>
                      <w:szCs w:val="21"/>
                    </w:rPr>
                  </w:pPr>
                  <w:r>
                    <w:rPr>
                      <w:rFonts w:hint="eastAsia"/>
                      <w:sz w:val="21"/>
                      <w:szCs w:val="21"/>
                    </w:rPr>
                    <w:t>60m</w:t>
                  </w:r>
                  <w:r>
                    <w:rPr>
                      <w:rFonts w:hint="eastAsia"/>
                      <w:sz w:val="21"/>
                      <w:szCs w:val="21"/>
                      <w:vertAlign w:val="superscript"/>
                    </w:rPr>
                    <w:t>3</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022" w:type="dxa"/>
                  <w:vAlign w:val="center"/>
                </w:tcPr>
                <w:p>
                  <w:pPr>
                    <w:spacing w:line="240" w:lineRule="auto"/>
                    <w:ind w:firstLine="0" w:firstLineChars="0"/>
                    <w:jc w:val="center"/>
                    <w:rPr>
                      <w:sz w:val="21"/>
                      <w:szCs w:val="21"/>
                    </w:rPr>
                  </w:pPr>
                  <w:r>
                    <w:rPr>
                      <w:rFonts w:hint="eastAsia"/>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十七</w:t>
                  </w:r>
                </w:p>
              </w:tc>
              <w:tc>
                <w:tcPr>
                  <w:tcW w:w="2362" w:type="dxa"/>
                  <w:gridSpan w:val="2"/>
                  <w:vAlign w:val="center"/>
                </w:tcPr>
                <w:p>
                  <w:pPr>
                    <w:spacing w:line="240" w:lineRule="auto"/>
                    <w:ind w:firstLine="0" w:firstLineChars="0"/>
                    <w:jc w:val="center"/>
                    <w:rPr>
                      <w:sz w:val="21"/>
                      <w:szCs w:val="21"/>
                    </w:rPr>
                  </w:pPr>
                  <w:r>
                    <w:rPr>
                      <w:rFonts w:hint="eastAsia"/>
                      <w:sz w:val="21"/>
                      <w:szCs w:val="21"/>
                    </w:rPr>
                    <w:t>油水罐</w:t>
                  </w:r>
                </w:p>
              </w:tc>
              <w:tc>
                <w:tcPr>
                  <w:tcW w:w="1997" w:type="dxa"/>
                  <w:vAlign w:val="center"/>
                </w:tcPr>
                <w:p>
                  <w:pPr>
                    <w:spacing w:line="240" w:lineRule="auto"/>
                    <w:ind w:firstLine="0" w:firstLineChars="0"/>
                    <w:jc w:val="center"/>
                    <w:rPr>
                      <w:sz w:val="21"/>
                      <w:szCs w:val="21"/>
                    </w:rPr>
                  </w:pPr>
                  <w:r>
                    <w:rPr>
                      <w:rFonts w:hint="eastAsia"/>
                      <w:sz w:val="21"/>
                      <w:szCs w:val="21"/>
                    </w:rPr>
                    <w:t>40m</w:t>
                  </w:r>
                  <w:r>
                    <w:rPr>
                      <w:rFonts w:hint="eastAsia"/>
                      <w:sz w:val="21"/>
                      <w:szCs w:val="21"/>
                      <w:vertAlign w:val="superscript"/>
                    </w:rPr>
                    <w:t>3</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022" w:type="dxa"/>
                  <w:vAlign w:val="center"/>
                </w:tcPr>
                <w:p>
                  <w:pPr>
                    <w:spacing w:line="240" w:lineRule="auto"/>
                    <w:ind w:firstLine="0" w:firstLineChars="0"/>
                    <w:jc w:val="center"/>
                    <w:rPr>
                      <w:sz w:val="21"/>
                      <w:szCs w:val="21"/>
                    </w:rPr>
                  </w:pPr>
                  <w:r>
                    <w:rPr>
                      <w:rFonts w:hint="eastAsia"/>
                      <w:sz w:val="21"/>
                      <w:szCs w:val="21"/>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643" w:type="dxa"/>
                  <w:vAlign w:val="center"/>
                </w:tcPr>
                <w:p>
                  <w:pPr>
                    <w:spacing w:line="240" w:lineRule="auto"/>
                    <w:ind w:firstLine="0" w:firstLineChars="0"/>
                    <w:jc w:val="center"/>
                    <w:rPr>
                      <w:sz w:val="21"/>
                      <w:szCs w:val="21"/>
                    </w:rPr>
                  </w:pPr>
                  <w:r>
                    <w:rPr>
                      <w:rFonts w:hint="eastAsia"/>
                      <w:sz w:val="21"/>
                      <w:szCs w:val="21"/>
                    </w:rPr>
                    <w:t>十八</w:t>
                  </w:r>
                </w:p>
              </w:tc>
              <w:tc>
                <w:tcPr>
                  <w:tcW w:w="2362" w:type="dxa"/>
                  <w:gridSpan w:val="2"/>
                  <w:vAlign w:val="center"/>
                </w:tcPr>
                <w:p>
                  <w:pPr>
                    <w:spacing w:line="240" w:lineRule="auto"/>
                    <w:ind w:firstLine="0" w:firstLineChars="0"/>
                    <w:jc w:val="center"/>
                    <w:rPr>
                      <w:sz w:val="21"/>
                      <w:szCs w:val="21"/>
                    </w:rPr>
                  </w:pPr>
                  <w:r>
                    <w:rPr>
                      <w:rFonts w:hint="eastAsia"/>
                      <w:sz w:val="21"/>
                      <w:szCs w:val="21"/>
                    </w:rPr>
                    <w:t>柴油罐</w:t>
                  </w:r>
                </w:p>
              </w:tc>
              <w:tc>
                <w:tcPr>
                  <w:tcW w:w="1997" w:type="dxa"/>
                  <w:vAlign w:val="center"/>
                </w:tcPr>
                <w:p>
                  <w:pPr>
                    <w:spacing w:line="240" w:lineRule="auto"/>
                    <w:ind w:firstLine="0" w:firstLineChars="0"/>
                    <w:jc w:val="center"/>
                    <w:rPr>
                      <w:sz w:val="21"/>
                      <w:szCs w:val="21"/>
                    </w:rPr>
                  </w:pPr>
                  <w:r>
                    <w:rPr>
                      <w:rFonts w:hint="eastAsia"/>
                      <w:sz w:val="21"/>
                      <w:szCs w:val="21"/>
                    </w:rPr>
                    <w:t>20m</w:t>
                  </w:r>
                  <w:r>
                    <w:rPr>
                      <w:rFonts w:hint="eastAsia"/>
                      <w:sz w:val="21"/>
                      <w:szCs w:val="21"/>
                      <w:vertAlign w:val="superscript"/>
                    </w:rPr>
                    <w:t>3</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106" w:type="dxa"/>
                  <w:vAlign w:val="center"/>
                </w:tcPr>
                <w:p>
                  <w:pPr>
                    <w:spacing w:line="240" w:lineRule="auto"/>
                    <w:ind w:firstLine="0" w:firstLineChars="0"/>
                    <w:jc w:val="center"/>
                    <w:rPr>
                      <w:sz w:val="21"/>
                      <w:szCs w:val="21"/>
                    </w:rPr>
                  </w:pPr>
                  <w:r>
                    <w:rPr>
                      <w:rFonts w:hint="eastAsia"/>
                      <w:sz w:val="21"/>
                      <w:szCs w:val="21"/>
                      <w:lang w:val="zh-CN"/>
                    </w:rPr>
                    <w:t>-</w:t>
                  </w:r>
                </w:p>
              </w:tc>
              <w:tc>
                <w:tcPr>
                  <w:tcW w:w="1022" w:type="dxa"/>
                  <w:vAlign w:val="center"/>
                </w:tcPr>
                <w:p>
                  <w:pPr>
                    <w:spacing w:line="240" w:lineRule="auto"/>
                    <w:ind w:firstLine="0" w:firstLineChars="0"/>
                    <w:jc w:val="center"/>
                    <w:rPr>
                      <w:sz w:val="21"/>
                      <w:szCs w:val="21"/>
                    </w:rPr>
                  </w:pPr>
                  <w:r>
                    <w:rPr>
                      <w:rFonts w:hint="eastAsia"/>
                      <w:sz w:val="21"/>
                      <w:szCs w:val="21"/>
                    </w:rPr>
                    <w:t>1个</w:t>
                  </w:r>
                </w:p>
              </w:tc>
            </w:tr>
          </w:tbl>
          <w:p>
            <w:pPr>
              <w:ind w:firstLine="480"/>
            </w:pPr>
            <w:r>
              <w:t>单井试油期主要设备见表2-</w:t>
            </w:r>
            <w:r>
              <w:rPr>
                <w:rFonts w:hint="eastAsia"/>
              </w:rPr>
              <w:t>8</w:t>
            </w:r>
            <w:r>
              <w:t>。</w:t>
            </w:r>
          </w:p>
          <w:p>
            <w:pPr>
              <w:pStyle w:val="2"/>
              <w:spacing w:line="360" w:lineRule="auto"/>
              <w:rPr>
                <w:b w:val="0"/>
                <w:szCs w:val="21"/>
              </w:rPr>
            </w:pPr>
            <w:r>
              <w:t>表2-</w:t>
            </w:r>
            <w:r>
              <w:rPr>
                <w:rFonts w:hint="eastAsia"/>
              </w:rPr>
              <w:t>8</w:t>
            </w:r>
            <w:r>
              <w:t xml:space="preserve">  单井试油期主要设备</w:t>
            </w:r>
          </w:p>
          <w:tbl>
            <w:tblPr>
              <w:tblStyle w:val="14"/>
              <w:tblW w:w="4997"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91"/>
              <w:gridCol w:w="1838"/>
              <w:gridCol w:w="1771"/>
              <w:gridCol w:w="722"/>
              <w:gridCol w:w="722"/>
              <w:gridCol w:w="273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353" w:type="pct"/>
                  <w:vAlign w:val="center"/>
                </w:tcPr>
                <w:p>
                  <w:pPr>
                    <w:pStyle w:val="20"/>
                    <w:rPr>
                      <w:b/>
                      <w:bCs/>
                      <w:szCs w:val="21"/>
                    </w:rPr>
                  </w:pPr>
                  <w:r>
                    <w:rPr>
                      <w:b/>
                      <w:bCs/>
                      <w:szCs w:val="21"/>
                    </w:rPr>
                    <w:t>序号</w:t>
                  </w:r>
                </w:p>
              </w:tc>
              <w:tc>
                <w:tcPr>
                  <w:tcW w:w="1096" w:type="pct"/>
                  <w:vAlign w:val="center"/>
                </w:tcPr>
                <w:p>
                  <w:pPr>
                    <w:pStyle w:val="20"/>
                    <w:rPr>
                      <w:b/>
                      <w:bCs/>
                      <w:szCs w:val="21"/>
                    </w:rPr>
                  </w:pPr>
                  <w:r>
                    <w:rPr>
                      <w:b/>
                      <w:bCs/>
                      <w:szCs w:val="21"/>
                    </w:rPr>
                    <w:t>设备名称</w:t>
                  </w:r>
                </w:p>
              </w:tc>
              <w:tc>
                <w:tcPr>
                  <w:tcW w:w="1056" w:type="pct"/>
                  <w:vAlign w:val="center"/>
                </w:tcPr>
                <w:p>
                  <w:pPr>
                    <w:pStyle w:val="20"/>
                    <w:rPr>
                      <w:b/>
                      <w:bCs/>
                      <w:szCs w:val="21"/>
                    </w:rPr>
                  </w:pPr>
                  <w:r>
                    <w:rPr>
                      <w:b/>
                      <w:bCs/>
                      <w:szCs w:val="21"/>
                    </w:rPr>
                    <w:t>型号及规格</w:t>
                  </w:r>
                </w:p>
              </w:tc>
              <w:tc>
                <w:tcPr>
                  <w:tcW w:w="431" w:type="pct"/>
                  <w:vAlign w:val="center"/>
                </w:tcPr>
                <w:p>
                  <w:pPr>
                    <w:pStyle w:val="20"/>
                    <w:rPr>
                      <w:b/>
                      <w:bCs/>
                      <w:szCs w:val="21"/>
                    </w:rPr>
                  </w:pPr>
                  <w:r>
                    <w:rPr>
                      <w:b/>
                      <w:bCs/>
                      <w:szCs w:val="21"/>
                    </w:rPr>
                    <w:t>单位</w:t>
                  </w:r>
                </w:p>
              </w:tc>
              <w:tc>
                <w:tcPr>
                  <w:tcW w:w="431" w:type="pct"/>
                  <w:vAlign w:val="center"/>
                </w:tcPr>
                <w:p>
                  <w:pPr>
                    <w:pStyle w:val="20"/>
                    <w:rPr>
                      <w:b/>
                      <w:bCs/>
                      <w:szCs w:val="21"/>
                    </w:rPr>
                  </w:pPr>
                  <w:r>
                    <w:rPr>
                      <w:b/>
                      <w:bCs/>
                      <w:szCs w:val="21"/>
                    </w:rPr>
                    <w:t>数量</w:t>
                  </w:r>
                </w:p>
              </w:tc>
              <w:tc>
                <w:tcPr>
                  <w:tcW w:w="1630" w:type="pct"/>
                  <w:vAlign w:val="center"/>
                </w:tcPr>
                <w:p>
                  <w:pPr>
                    <w:pStyle w:val="20"/>
                    <w:rPr>
                      <w:b/>
                      <w:bCs/>
                      <w:szCs w:val="21"/>
                    </w:rPr>
                  </w:pPr>
                  <w:r>
                    <w:rPr>
                      <w:b/>
                      <w:bCs/>
                      <w:szCs w:val="21"/>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12" w:hRule="atLeast"/>
                <w:jc w:val="center"/>
              </w:trPr>
              <w:tc>
                <w:tcPr>
                  <w:tcW w:w="353" w:type="pct"/>
                  <w:vAlign w:val="center"/>
                </w:tcPr>
                <w:p>
                  <w:pPr>
                    <w:pStyle w:val="20"/>
                    <w:rPr>
                      <w:szCs w:val="21"/>
                    </w:rPr>
                  </w:pPr>
                  <w:r>
                    <w:rPr>
                      <w:szCs w:val="21"/>
                    </w:rPr>
                    <w:t>1</w:t>
                  </w:r>
                </w:p>
              </w:tc>
              <w:tc>
                <w:tcPr>
                  <w:tcW w:w="1096" w:type="pct"/>
                  <w:vAlign w:val="center"/>
                </w:tcPr>
                <w:p>
                  <w:pPr>
                    <w:pStyle w:val="20"/>
                    <w:rPr>
                      <w:szCs w:val="21"/>
                    </w:rPr>
                  </w:pPr>
                  <w:r>
                    <w:rPr>
                      <w:szCs w:val="21"/>
                    </w:rPr>
                    <w:t>修井机</w:t>
                  </w:r>
                </w:p>
              </w:tc>
              <w:tc>
                <w:tcPr>
                  <w:tcW w:w="1056" w:type="pct"/>
                  <w:vAlign w:val="center"/>
                </w:tcPr>
                <w:p>
                  <w:pPr>
                    <w:pStyle w:val="20"/>
                    <w:rPr>
                      <w:szCs w:val="21"/>
                    </w:rPr>
                  </w:pPr>
                  <w:r>
                    <w:rPr>
                      <w:szCs w:val="21"/>
                    </w:rPr>
                    <w:t>60t</w:t>
                  </w:r>
                </w:p>
              </w:tc>
              <w:tc>
                <w:tcPr>
                  <w:tcW w:w="431" w:type="pct"/>
                  <w:vAlign w:val="center"/>
                </w:tcPr>
                <w:p>
                  <w:pPr>
                    <w:pStyle w:val="20"/>
                    <w:rPr>
                      <w:szCs w:val="21"/>
                    </w:rPr>
                  </w:pPr>
                  <w:r>
                    <w:rPr>
                      <w:szCs w:val="21"/>
                    </w:rPr>
                    <w:t>部</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8" w:hRule="atLeast"/>
                <w:jc w:val="center"/>
              </w:trPr>
              <w:tc>
                <w:tcPr>
                  <w:tcW w:w="353" w:type="pct"/>
                  <w:vAlign w:val="center"/>
                </w:tcPr>
                <w:p>
                  <w:pPr>
                    <w:pStyle w:val="20"/>
                    <w:rPr>
                      <w:szCs w:val="21"/>
                    </w:rPr>
                  </w:pPr>
                  <w:r>
                    <w:rPr>
                      <w:szCs w:val="21"/>
                    </w:rPr>
                    <w:t>2</w:t>
                  </w:r>
                </w:p>
              </w:tc>
              <w:tc>
                <w:tcPr>
                  <w:tcW w:w="1096" w:type="pct"/>
                  <w:vAlign w:val="center"/>
                </w:tcPr>
                <w:p>
                  <w:pPr>
                    <w:pStyle w:val="20"/>
                    <w:rPr>
                      <w:szCs w:val="21"/>
                    </w:rPr>
                  </w:pPr>
                  <w:r>
                    <w:rPr>
                      <w:szCs w:val="21"/>
                    </w:rPr>
                    <w:t>试油井架</w:t>
                  </w:r>
                </w:p>
              </w:tc>
              <w:tc>
                <w:tcPr>
                  <w:tcW w:w="1056" w:type="pct"/>
                  <w:vAlign w:val="center"/>
                </w:tcPr>
                <w:p>
                  <w:pPr>
                    <w:pStyle w:val="20"/>
                    <w:rPr>
                      <w:szCs w:val="21"/>
                    </w:rPr>
                  </w:pPr>
                  <w:r>
                    <w:rPr>
                      <w:szCs w:val="21"/>
                    </w:rPr>
                    <w:t>/</w:t>
                  </w:r>
                </w:p>
              </w:tc>
              <w:tc>
                <w:tcPr>
                  <w:tcW w:w="431" w:type="pct"/>
                  <w:vAlign w:val="center"/>
                </w:tcPr>
                <w:p>
                  <w:pPr>
                    <w:pStyle w:val="20"/>
                    <w:rPr>
                      <w:szCs w:val="21"/>
                    </w:rPr>
                  </w:pPr>
                  <w:r>
                    <w:rPr>
                      <w:szCs w:val="21"/>
                    </w:rPr>
                    <w:t>部</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9" w:hRule="atLeast"/>
                <w:jc w:val="center"/>
              </w:trPr>
              <w:tc>
                <w:tcPr>
                  <w:tcW w:w="353" w:type="pct"/>
                  <w:vAlign w:val="center"/>
                </w:tcPr>
                <w:p>
                  <w:pPr>
                    <w:pStyle w:val="20"/>
                    <w:rPr>
                      <w:szCs w:val="21"/>
                    </w:rPr>
                  </w:pPr>
                  <w:r>
                    <w:rPr>
                      <w:szCs w:val="21"/>
                    </w:rPr>
                    <w:t>3</w:t>
                  </w:r>
                </w:p>
              </w:tc>
              <w:tc>
                <w:tcPr>
                  <w:tcW w:w="1096" w:type="pct"/>
                  <w:vAlign w:val="center"/>
                </w:tcPr>
                <w:p>
                  <w:pPr>
                    <w:pStyle w:val="20"/>
                    <w:rPr>
                      <w:szCs w:val="21"/>
                    </w:rPr>
                  </w:pPr>
                  <w:r>
                    <w:rPr>
                      <w:szCs w:val="21"/>
                    </w:rPr>
                    <w:t>液压钳</w:t>
                  </w:r>
                </w:p>
              </w:tc>
              <w:tc>
                <w:tcPr>
                  <w:tcW w:w="1056" w:type="pct"/>
                  <w:vAlign w:val="center"/>
                </w:tcPr>
                <w:p>
                  <w:pPr>
                    <w:pStyle w:val="20"/>
                    <w:rPr>
                      <w:szCs w:val="21"/>
                    </w:rPr>
                  </w:pPr>
                  <w:r>
                    <w:rPr>
                      <w:szCs w:val="21"/>
                    </w:rPr>
                    <w:t>600型或300型</w:t>
                  </w:r>
                </w:p>
              </w:tc>
              <w:tc>
                <w:tcPr>
                  <w:tcW w:w="431" w:type="pct"/>
                  <w:vAlign w:val="center"/>
                </w:tcPr>
                <w:p>
                  <w:pPr>
                    <w:pStyle w:val="20"/>
                    <w:rPr>
                      <w:szCs w:val="21"/>
                    </w:rPr>
                  </w:pPr>
                  <w:r>
                    <w:rPr>
                      <w:szCs w:val="21"/>
                    </w:rPr>
                    <w:t>台</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足够长的配套管线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5" w:hRule="atLeast"/>
                <w:jc w:val="center"/>
              </w:trPr>
              <w:tc>
                <w:tcPr>
                  <w:tcW w:w="353" w:type="pct"/>
                  <w:vAlign w:val="center"/>
                </w:tcPr>
                <w:p>
                  <w:pPr>
                    <w:pStyle w:val="20"/>
                    <w:rPr>
                      <w:szCs w:val="21"/>
                    </w:rPr>
                  </w:pPr>
                  <w:r>
                    <w:rPr>
                      <w:szCs w:val="21"/>
                    </w:rPr>
                    <w:t>4</w:t>
                  </w:r>
                </w:p>
              </w:tc>
              <w:tc>
                <w:tcPr>
                  <w:tcW w:w="1096" w:type="pct"/>
                  <w:vAlign w:val="center"/>
                </w:tcPr>
                <w:p>
                  <w:pPr>
                    <w:pStyle w:val="20"/>
                    <w:rPr>
                      <w:szCs w:val="21"/>
                    </w:rPr>
                  </w:pPr>
                  <w:r>
                    <w:rPr>
                      <w:szCs w:val="21"/>
                    </w:rPr>
                    <w:t>方罐</w:t>
                  </w:r>
                </w:p>
              </w:tc>
              <w:tc>
                <w:tcPr>
                  <w:tcW w:w="1056" w:type="pct"/>
                  <w:vAlign w:val="center"/>
                </w:tcPr>
                <w:p>
                  <w:pPr>
                    <w:pStyle w:val="20"/>
                    <w:rPr>
                      <w:szCs w:val="21"/>
                    </w:rPr>
                  </w:pPr>
                  <w:r>
                    <w:rPr>
                      <w:szCs w:val="21"/>
                    </w:rPr>
                    <w:t>2</w:t>
                  </w:r>
                  <w:r>
                    <w:rPr>
                      <w:rFonts w:hint="eastAsia"/>
                      <w:szCs w:val="21"/>
                    </w:rPr>
                    <w:t>1</w:t>
                  </w:r>
                  <w:r>
                    <w:rPr>
                      <w:szCs w:val="21"/>
                    </w:rPr>
                    <w:t>.00m</w:t>
                  </w:r>
                  <w:r>
                    <w:rPr>
                      <w:szCs w:val="21"/>
                      <w:vertAlign w:val="superscript"/>
                    </w:rPr>
                    <w:t>3</w:t>
                  </w:r>
                </w:p>
              </w:tc>
              <w:tc>
                <w:tcPr>
                  <w:tcW w:w="431" w:type="pct"/>
                  <w:vAlign w:val="center"/>
                </w:tcPr>
                <w:p>
                  <w:pPr>
                    <w:pStyle w:val="20"/>
                    <w:rPr>
                      <w:szCs w:val="21"/>
                    </w:rPr>
                  </w:pPr>
                  <w:r>
                    <w:rPr>
                      <w:szCs w:val="21"/>
                    </w:rPr>
                    <w:t>个</w:t>
                  </w:r>
                </w:p>
              </w:tc>
              <w:tc>
                <w:tcPr>
                  <w:tcW w:w="431" w:type="pct"/>
                  <w:vAlign w:val="center"/>
                </w:tcPr>
                <w:p>
                  <w:pPr>
                    <w:pStyle w:val="20"/>
                    <w:rPr>
                      <w:szCs w:val="21"/>
                    </w:rPr>
                  </w:pPr>
                  <w:r>
                    <w:rPr>
                      <w:szCs w:val="21"/>
                    </w:rPr>
                    <w:t>4</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353" w:type="pct"/>
                  <w:vAlign w:val="center"/>
                </w:tcPr>
                <w:p>
                  <w:pPr>
                    <w:pStyle w:val="20"/>
                    <w:rPr>
                      <w:szCs w:val="21"/>
                    </w:rPr>
                  </w:pPr>
                  <w:r>
                    <w:rPr>
                      <w:szCs w:val="21"/>
                    </w:rPr>
                    <w:t>5</w:t>
                  </w:r>
                </w:p>
              </w:tc>
              <w:tc>
                <w:tcPr>
                  <w:tcW w:w="1096" w:type="pct"/>
                  <w:vAlign w:val="center"/>
                </w:tcPr>
                <w:p>
                  <w:pPr>
                    <w:pStyle w:val="20"/>
                    <w:rPr>
                      <w:szCs w:val="21"/>
                    </w:rPr>
                  </w:pPr>
                  <w:r>
                    <w:rPr>
                      <w:szCs w:val="21"/>
                    </w:rPr>
                    <w:t>吊卡</w:t>
                  </w:r>
                </w:p>
              </w:tc>
              <w:tc>
                <w:tcPr>
                  <w:tcW w:w="1056" w:type="pct"/>
                  <w:vAlign w:val="center"/>
                </w:tcPr>
                <w:p>
                  <w:pPr>
                    <w:pStyle w:val="20"/>
                    <w:rPr>
                      <w:szCs w:val="21"/>
                    </w:rPr>
                  </w:pPr>
                  <w:r>
                    <w:rPr>
                      <w:szCs w:val="21"/>
                    </w:rPr>
                    <w:t>Φ73.0mm/Φ88.9mm</w:t>
                  </w:r>
                </w:p>
              </w:tc>
              <w:tc>
                <w:tcPr>
                  <w:tcW w:w="431" w:type="pct"/>
                  <w:vAlign w:val="center"/>
                </w:tcPr>
                <w:p>
                  <w:pPr>
                    <w:pStyle w:val="20"/>
                    <w:rPr>
                      <w:szCs w:val="21"/>
                    </w:rPr>
                  </w:pPr>
                  <w:r>
                    <w:rPr>
                      <w:szCs w:val="21"/>
                    </w:rPr>
                    <w:t>只</w:t>
                  </w:r>
                </w:p>
              </w:tc>
              <w:tc>
                <w:tcPr>
                  <w:tcW w:w="431" w:type="pct"/>
                  <w:vAlign w:val="center"/>
                </w:tcPr>
                <w:p>
                  <w:pPr>
                    <w:pStyle w:val="20"/>
                    <w:rPr>
                      <w:szCs w:val="21"/>
                    </w:rPr>
                  </w:pPr>
                  <w:r>
                    <w:rPr>
                      <w:szCs w:val="21"/>
                    </w:rPr>
                    <w:t>2/2</w:t>
                  </w:r>
                </w:p>
              </w:tc>
              <w:tc>
                <w:tcPr>
                  <w:tcW w:w="1630" w:type="pct"/>
                  <w:vAlign w:val="center"/>
                </w:tcPr>
                <w:p>
                  <w:pPr>
                    <w:pStyle w:val="20"/>
                    <w:rPr>
                      <w:szCs w:val="21"/>
                    </w:rPr>
                  </w:pPr>
                  <w:r>
                    <w:rPr>
                      <w:szCs w:val="21"/>
                    </w:rPr>
                    <w:t>50t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8" w:hRule="atLeast"/>
                <w:jc w:val="center"/>
              </w:trPr>
              <w:tc>
                <w:tcPr>
                  <w:tcW w:w="353" w:type="pct"/>
                  <w:vAlign w:val="center"/>
                </w:tcPr>
                <w:p>
                  <w:pPr>
                    <w:pStyle w:val="20"/>
                    <w:rPr>
                      <w:szCs w:val="21"/>
                    </w:rPr>
                  </w:pPr>
                  <w:r>
                    <w:rPr>
                      <w:szCs w:val="21"/>
                    </w:rPr>
                    <w:t>6</w:t>
                  </w:r>
                </w:p>
              </w:tc>
              <w:tc>
                <w:tcPr>
                  <w:tcW w:w="1096" w:type="pct"/>
                  <w:vAlign w:val="center"/>
                </w:tcPr>
                <w:p>
                  <w:pPr>
                    <w:pStyle w:val="20"/>
                    <w:rPr>
                      <w:szCs w:val="21"/>
                    </w:rPr>
                  </w:pPr>
                  <w:r>
                    <w:rPr>
                      <w:szCs w:val="21"/>
                    </w:rPr>
                    <w:t>吊环</w:t>
                  </w:r>
                </w:p>
              </w:tc>
              <w:tc>
                <w:tcPr>
                  <w:tcW w:w="1056" w:type="pct"/>
                  <w:vAlign w:val="center"/>
                </w:tcPr>
                <w:p>
                  <w:pPr>
                    <w:pStyle w:val="20"/>
                    <w:rPr>
                      <w:szCs w:val="21"/>
                    </w:rPr>
                  </w:pPr>
                  <w:r>
                    <w:rPr>
                      <w:szCs w:val="21"/>
                    </w:rPr>
                    <w:t>SH-80</w:t>
                  </w:r>
                </w:p>
              </w:tc>
              <w:tc>
                <w:tcPr>
                  <w:tcW w:w="431" w:type="pct"/>
                  <w:vAlign w:val="center"/>
                </w:tcPr>
                <w:p>
                  <w:pPr>
                    <w:pStyle w:val="20"/>
                    <w:rPr>
                      <w:szCs w:val="21"/>
                    </w:rPr>
                  </w:pPr>
                  <w:r>
                    <w:rPr>
                      <w:szCs w:val="21"/>
                    </w:rPr>
                    <w:t>付</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7" w:hRule="atLeast"/>
                <w:jc w:val="center"/>
              </w:trPr>
              <w:tc>
                <w:tcPr>
                  <w:tcW w:w="353" w:type="pct"/>
                  <w:vAlign w:val="center"/>
                </w:tcPr>
                <w:p>
                  <w:pPr>
                    <w:pStyle w:val="20"/>
                    <w:rPr>
                      <w:szCs w:val="21"/>
                    </w:rPr>
                  </w:pPr>
                  <w:r>
                    <w:rPr>
                      <w:szCs w:val="21"/>
                    </w:rPr>
                    <w:t>7</w:t>
                  </w:r>
                </w:p>
              </w:tc>
              <w:tc>
                <w:tcPr>
                  <w:tcW w:w="1096" w:type="pct"/>
                  <w:vAlign w:val="center"/>
                </w:tcPr>
                <w:p>
                  <w:pPr>
                    <w:pStyle w:val="20"/>
                    <w:rPr>
                      <w:szCs w:val="21"/>
                    </w:rPr>
                  </w:pPr>
                  <w:r>
                    <w:rPr>
                      <w:szCs w:val="21"/>
                    </w:rPr>
                    <w:t>通管规</w:t>
                  </w:r>
                </w:p>
              </w:tc>
              <w:tc>
                <w:tcPr>
                  <w:tcW w:w="1056" w:type="pct"/>
                  <w:vAlign w:val="center"/>
                </w:tcPr>
                <w:p>
                  <w:pPr>
                    <w:pStyle w:val="20"/>
                    <w:rPr>
                      <w:szCs w:val="21"/>
                    </w:rPr>
                  </w:pPr>
                  <w:r>
                    <w:rPr>
                      <w:szCs w:val="21"/>
                    </w:rPr>
                    <w:t>Φ73.0mm/58.0mm</w:t>
                  </w:r>
                </w:p>
              </w:tc>
              <w:tc>
                <w:tcPr>
                  <w:tcW w:w="431" w:type="pct"/>
                  <w:vAlign w:val="center"/>
                </w:tcPr>
                <w:p>
                  <w:pPr>
                    <w:pStyle w:val="20"/>
                    <w:rPr>
                      <w:szCs w:val="21"/>
                    </w:rPr>
                  </w:pPr>
                  <w:r>
                    <w:rPr>
                      <w:szCs w:val="21"/>
                    </w:rPr>
                    <w:t>个</w:t>
                  </w:r>
                </w:p>
              </w:tc>
              <w:tc>
                <w:tcPr>
                  <w:tcW w:w="431" w:type="pct"/>
                  <w:vAlign w:val="center"/>
                </w:tcPr>
                <w:p>
                  <w:pPr>
                    <w:pStyle w:val="20"/>
                    <w:rPr>
                      <w:szCs w:val="21"/>
                    </w:rPr>
                  </w:pPr>
                  <w:r>
                    <w:rPr>
                      <w:szCs w:val="21"/>
                    </w:rPr>
                    <w:t>2/2</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2" w:hRule="atLeast"/>
                <w:jc w:val="center"/>
              </w:trPr>
              <w:tc>
                <w:tcPr>
                  <w:tcW w:w="353" w:type="pct"/>
                  <w:vAlign w:val="center"/>
                </w:tcPr>
                <w:p>
                  <w:pPr>
                    <w:pStyle w:val="20"/>
                    <w:rPr>
                      <w:szCs w:val="21"/>
                    </w:rPr>
                  </w:pPr>
                  <w:r>
                    <w:rPr>
                      <w:szCs w:val="21"/>
                    </w:rPr>
                    <w:t>8</w:t>
                  </w:r>
                </w:p>
              </w:tc>
              <w:tc>
                <w:tcPr>
                  <w:tcW w:w="1096" w:type="pct"/>
                  <w:vAlign w:val="center"/>
                </w:tcPr>
                <w:p>
                  <w:pPr>
                    <w:pStyle w:val="20"/>
                    <w:rPr>
                      <w:szCs w:val="21"/>
                    </w:rPr>
                  </w:pPr>
                  <w:r>
                    <w:rPr>
                      <w:szCs w:val="21"/>
                    </w:rPr>
                    <w:t>提升短节</w:t>
                  </w:r>
                </w:p>
              </w:tc>
              <w:tc>
                <w:tcPr>
                  <w:tcW w:w="1056" w:type="pct"/>
                  <w:vAlign w:val="center"/>
                </w:tcPr>
                <w:p>
                  <w:pPr>
                    <w:pStyle w:val="20"/>
                    <w:rPr>
                      <w:szCs w:val="21"/>
                    </w:rPr>
                  </w:pPr>
                  <w:r>
                    <w:rPr>
                      <w:szCs w:val="21"/>
                    </w:rPr>
                    <w:t>Φ88.9mm</w:t>
                  </w:r>
                </w:p>
              </w:tc>
              <w:tc>
                <w:tcPr>
                  <w:tcW w:w="431" w:type="pct"/>
                  <w:vAlign w:val="center"/>
                </w:tcPr>
                <w:p>
                  <w:pPr>
                    <w:pStyle w:val="20"/>
                    <w:rPr>
                      <w:szCs w:val="21"/>
                    </w:rPr>
                  </w:pPr>
                  <w:r>
                    <w:rPr>
                      <w:szCs w:val="21"/>
                    </w:rPr>
                    <w:t>套</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353" w:type="pct"/>
                  <w:vAlign w:val="center"/>
                </w:tcPr>
                <w:p>
                  <w:pPr>
                    <w:pStyle w:val="20"/>
                    <w:rPr>
                      <w:szCs w:val="21"/>
                    </w:rPr>
                  </w:pPr>
                  <w:r>
                    <w:rPr>
                      <w:szCs w:val="21"/>
                    </w:rPr>
                    <w:t>9</w:t>
                  </w:r>
                </w:p>
              </w:tc>
              <w:tc>
                <w:tcPr>
                  <w:tcW w:w="1096" w:type="pct"/>
                  <w:vAlign w:val="center"/>
                </w:tcPr>
                <w:p>
                  <w:pPr>
                    <w:pStyle w:val="20"/>
                    <w:rPr>
                      <w:szCs w:val="21"/>
                    </w:rPr>
                  </w:pPr>
                  <w:r>
                    <w:rPr>
                      <w:szCs w:val="21"/>
                    </w:rPr>
                    <w:t>调整短节</w:t>
                  </w:r>
                </w:p>
              </w:tc>
              <w:tc>
                <w:tcPr>
                  <w:tcW w:w="1056" w:type="pct"/>
                  <w:vAlign w:val="center"/>
                </w:tcPr>
                <w:p>
                  <w:pPr>
                    <w:pStyle w:val="20"/>
                    <w:rPr>
                      <w:szCs w:val="21"/>
                    </w:rPr>
                  </w:pPr>
                  <w:r>
                    <w:rPr>
                      <w:szCs w:val="21"/>
                    </w:rPr>
                    <w:t>Φ73.0mm</w:t>
                  </w:r>
                </w:p>
              </w:tc>
              <w:tc>
                <w:tcPr>
                  <w:tcW w:w="431" w:type="pct"/>
                  <w:vAlign w:val="center"/>
                </w:tcPr>
                <w:p>
                  <w:pPr>
                    <w:pStyle w:val="20"/>
                    <w:rPr>
                      <w:szCs w:val="21"/>
                    </w:rPr>
                  </w:pPr>
                  <w:r>
                    <w:rPr>
                      <w:szCs w:val="21"/>
                    </w:rPr>
                    <w:t>m</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（0.3m、0.5m、1.0m、1.5m、2.0m）</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7" w:hRule="atLeast"/>
                <w:jc w:val="center"/>
              </w:trPr>
              <w:tc>
                <w:tcPr>
                  <w:tcW w:w="353" w:type="pct"/>
                  <w:vAlign w:val="center"/>
                </w:tcPr>
                <w:p>
                  <w:pPr>
                    <w:pStyle w:val="20"/>
                    <w:rPr>
                      <w:szCs w:val="21"/>
                    </w:rPr>
                  </w:pPr>
                  <w:r>
                    <w:rPr>
                      <w:szCs w:val="21"/>
                    </w:rPr>
                    <w:t>10</w:t>
                  </w:r>
                </w:p>
              </w:tc>
              <w:tc>
                <w:tcPr>
                  <w:tcW w:w="1096" w:type="pct"/>
                  <w:vAlign w:val="center"/>
                </w:tcPr>
                <w:p>
                  <w:pPr>
                    <w:pStyle w:val="20"/>
                    <w:rPr>
                      <w:szCs w:val="21"/>
                    </w:rPr>
                  </w:pPr>
                  <w:r>
                    <w:rPr>
                      <w:szCs w:val="21"/>
                    </w:rPr>
                    <w:t>值班房</w:t>
                  </w:r>
                </w:p>
              </w:tc>
              <w:tc>
                <w:tcPr>
                  <w:tcW w:w="1056" w:type="pct"/>
                  <w:vAlign w:val="center"/>
                </w:tcPr>
                <w:p>
                  <w:pPr>
                    <w:pStyle w:val="20"/>
                    <w:rPr>
                      <w:szCs w:val="21"/>
                    </w:rPr>
                  </w:pPr>
                  <w:r>
                    <w:rPr>
                      <w:szCs w:val="21"/>
                    </w:rPr>
                    <w:t>/</w:t>
                  </w:r>
                </w:p>
              </w:tc>
              <w:tc>
                <w:tcPr>
                  <w:tcW w:w="431" w:type="pct"/>
                  <w:vAlign w:val="center"/>
                </w:tcPr>
                <w:p>
                  <w:pPr>
                    <w:pStyle w:val="20"/>
                    <w:rPr>
                      <w:szCs w:val="21"/>
                    </w:rPr>
                  </w:pPr>
                  <w:r>
                    <w:rPr>
                      <w:szCs w:val="21"/>
                    </w:rPr>
                    <w:t>套</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7" w:hRule="atLeast"/>
                <w:jc w:val="center"/>
              </w:trPr>
              <w:tc>
                <w:tcPr>
                  <w:tcW w:w="353" w:type="pct"/>
                  <w:vAlign w:val="center"/>
                </w:tcPr>
                <w:p>
                  <w:pPr>
                    <w:pStyle w:val="20"/>
                    <w:rPr>
                      <w:szCs w:val="21"/>
                    </w:rPr>
                  </w:pPr>
                  <w:r>
                    <w:rPr>
                      <w:szCs w:val="21"/>
                    </w:rPr>
                    <w:t>11</w:t>
                  </w:r>
                </w:p>
              </w:tc>
              <w:tc>
                <w:tcPr>
                  <w:tcW w:w="1096" w:type="pct"/>
                  <w:vAlign w:val="center"/>
                </w:tcPr>
                <w:p>
                  <w:pPr>
                    <w:pStyle w:val="20"/>
                    <w:rPr>
                      <w:szCs w:val="21"/>
                    </w:rPr>
                  </w:pPr>
                  <w:r>
                    <w:rPr>
                      <w:szCs w:val="21"/>
                    </w:rPr>
                    <w:t>发电房</w:t>
                  </w:r>
                </w:p>
              </w:tc>
              <w:tc>
                <w:tcPr>
                  <w:tcW w:w="1056" w:type="pct"/>
                  <w:vAlign w:val="center"/>
                </w:tcPr>
                <w:p>
                  <w:pPr>
                    <w:pStyle w:val="20"/>
                    <w:rPr>
                      <w:szCs w:val="21"/>
                    </w:rPr>
                  </w:pPr>
                  <w:r>
                    <w:rPr>
                      <w:szCs w:val="21"/>
                    </w:rPr>
                    <w:t>/</w:t>
                  </w:r>
                </w:p>
              </w:tc>
              <w:tc>
                <w:tcPr>
                  <w:tcW w:w="431" w:type="pct"/>
                  <w:vAlign w:val="center"/>
                </w:tcPr>
                <w:p>
                  <w:pPr>
                    <w:pStyle w:val="20"/>
                    <w:rPr>
                      <w:szCs w:val="21"/>
                    </w:rPr>
                  </w:pPr>
                  <w:r>
                    <w:rPr>
                      <w:szCs w:val="21"/>
                    </w:rPr>
                    <w:t>套</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8" w:hRule="atLeast"/>
                <w:jc w:val="center"/>
              </w:trPr>
              <w:tc>
                <w:tcPr>
                  <w:tcW w:w="353" w:type="pct"/>
                  <w:vAlign w:val="center"/>
                </w:tcPr>
                <w:p>
                  <w:pPr>
                    <w:pStyle w:val="20"/>
                    <w:rPr>
                      <w:szCs w:val="21"/>
                    </w:rPr>
                  </w:pPr>
                  <w:r>
                    <w:rPr>
                      <w:szCs w:val="21"/>
                    </w:rPr>
                    <w:t>12</w:t>
                  </w:r>
                </w:p>
              </w:tc>
              <w:tc>
                <w:tcPr>
                  <w:tcW w:w="1096" w:type="pct"/>
                  <w:vAlign w:val="center"/>
                </w:tcPr>
                <w:p>
                  <w:pPr>
                    <w:pStyle w:val="20"/>
                    <w:rPr>
                      <w:szCs w:val="21"/>
                    </w:rPr>
                  </w:pPr>
                  <w:r>
                    <w:rPr>
                      <w:szCs w:val="21"/>
                    </w:rPr>
                    <w:t>柴油发电机</w:t>
                  </w:r>
                </w:p>
              </w:tc>
              <w:tc>
                <w:tcPr>
                  <w:tcW w:w="1056" w:type="pct"/>
                  <w:vAlign w:val="center"/>
                </w:tcPr>
                <w:p>
                  <w:pPr>
                    <w:pStyle w:val="20"/>
                    <w:rPr>
                      <w:szCs w:val="21"/>
                    </w:rPr>
                  </w:pPr>
                  <w:r>
                    <w:rPr>
                      <w:szCs w:val="21"/>
                    </w:rPr>
                    <w:t>/</w:t>
                  </w:r>
                </w:p>
              </w:tc>
              <w:tc>
                <w:tcPr>
                  <w:tcW w:w="431" w:type="pct"/>
                  <w:vAlign w:val="center"/>
                </w:tcPr>
                <w:p>
                  <w:pPr>
                    <w:pStyle w:val="20"/>
                    <w:rPr>
                      <w:szCs w:val="21"/>
                    </w:rPr>
                  </w:pPr>
                  <w:r>
                    <w:rPr>
                      <w:szCs w:val="21"/>
                    </w:rPr>
                    <w:t>台</w:t>
                  </w:r>
                </w:p>
              </w:tc>
              <w:tc>
                <w:tcPr>
                  <w:tcW w:w="431" w:type="pct"/>
                  <w:vAlign w:val="center"/>
                </w:tcPr>
                <w:p>
                  <w:pPr>
                    <w:pStyle w:val="20"/>
                    <w:rPr>
                      <w:szCs w:val="21"/>
                    </w:rPr>
                  </w:pPr>
                  <w:r>
                    <w:rPr>
                      <w:szCs w:val="21"/>
                    </w:rPr>
                    <w:t>2</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szCs w:val="21"/>
                    </w:rPr>
                    <w:t>13</w:t>
                  </w:r>
                </w:p>
              </w:tc>
              <w:tc>
                <w:tcPr>
                  <w:tcW w:w="1096" w:type="pct"/>
                  <w:vAlign w:val="center"/>
                </w:tcPr>
                <w:p>
                  <w:pPr>
                    <w:pStyle w:val="20"/>
                    <w:rPr>
                      <w:szCs w:val="21"/>
                    </w:rPr>
                  </w:pPr>
                  <w:r>
                    <w:rPr>
                      <w:szCs w:val="21"/>
                    </w:rPr>
                    <w:t>泵车</w:t>
                  </w:r>
                </w:p>
              </w:tc>
              <w:tc>
                <w:tcPr>
                  <w:tcW w:w="1056" w:type="pct"/>
                  <w:vAlign w:val="center"/>
                </w:tcPr>
                <w:p>
                  <w:pPr>
                    <w:pStyle w:val="20"/>
                    <w:rPr>
                      <w:szCs w:val="21"/>
                    </w:rPr>
                  </w:pPr>
                  <w:r>
                    <w:rPr>
                      <w:szCs w:val="21"/>
                    </w:rPr>
                    <w:t>/</w:t>
                  </w:r>
                </w:p>
              </w:tc>
              <w:tc>
                <w:tcPr>
                  <w:tcW w:w="431" w:type="pct"/>
                  <w:vAlign w:val="center"/>
                </w:tcPr>
                <w:p>
                  <w:pPr>
                    <w:pStyle w:val="20"/>
                    <w:rPr>
                      <w:szCs w:val="21"/>
                    </w:rPr>
                  </w:pPr>
                  <w:r>
                    <w:rPr>
                      <w:szCs w:val="21"/>
                    </w:rPr>
                    <w:t>台</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szCs w:val="21"/>
                    </w:rPr>
                    <w:t>14</w:t>
                  </w:r>
                </w:p>
              </w:tc>
              <w:tc>
                <w:tcPr>
                  <w:tcW w:w="1096" w:type="pct"/>
                  <w:vAlign w:val="center"/>
                </w:tcPr>
                <w:p>
                  <w:pPr>
                    <w:pStyle w:val="20"/>
                    <w:rPr>
                      <w:szCs w:val="21"/>
                    </w:rPr>
                  </w:pPr>
                  <w:r>
                    <w:rPr>
                      <w:szCs w:val="21"/>
                    </w:rPr>
                    <w:t>气液分离器</w:t>
                  </w:r>
                </w:p>
              </w:tc>
              <w:tc>
                <w:tcPr>
                  <w:tcW w:w="1056" w:type="pct"/>
                  <w:vAlign w:val="center"/>
                </w:tcPr>
                <w:p>
                  <w:pPr>
                    <w:pStyle w:val="20"/>
                    <w:rPr>
                      <w:szCs w:val="21"/>
                    </w:rPr>
                  </w:pPr>
                  <w:r>
                    <w:rPr>
                      <w:szCs w:val="21"/>
                    </w:rPr>
                    <w:t>/</w:t>
                  </w:r>
                </w:p>
              </w:tc>
              <w:tc>
                <w:tcPr>
                  <w:tcW w:w="431" w:type="pct"/>
                  <w:vAlign w:val="center"/>
                </w:tcPr>
                <w:p>
                  <w:pPr>
                    <w:pStyle w:val="20"/>
                    <w:rPr>
                      <w:szCs w:val="21"/>
                    </w:rPr>
                  </w:pPr>
                  <w:r>
                    <w:rPr>
                      <w:szCs w:val="21"/>
                    </w:rPr>
                    <w:t>台</w:t>
                  </w:r>
                </w:p>
              </w:tc>
              <w:tc>
                <w:tcPr>
                  <w:tcW w:w="431" w:type="pct"/>
                  <w:vAlign w:val="center"/>
                </w:tcPr>
                <w:p>
                  <w:pPr>
                    <w:pStyle w:val="20"/>
                    <w:rPr>
                      <w:szCs w:val="21"/>
                    </w:rPr>
                  </w:pPr>
                  <w:r>
                    <w:rPr>
                      <w:szCs w:val="21"/>
                    </w:rPr>
                    <w:t>1</w:t>
                  </w:r>
                </w:p>
              </w:tc>
              <w:tc>
                <w:tcPr>
                  <w:tcW w:w="1630" w:type="pct"/>
                  <w:vAlign w:val="center"/>
                </w:tcPr>
                <w:p>
                  <w:pPr>
                    <w:pStyle w:val="20"/>
                    <w:rPr>
                      <w:szCs w:val="21"/>
                    </w:rPr>
                  </w:pPr>
                  <w:r>
                    <w:rPr>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15</w:t>
                  </w:r>
                </w:p>
              </w:tc>
              <w:tc>
                <w:tcPr>
                  <w:tcW w:w="1096" w:type="pct"/>
                  <w:vAlign w:val="center"/>
                </w:tcPr>
                <w:p>
                  <w:pPr>
                    <w:pStyle w:val="20"/>
                    <w:rPr>
                      <w:szCs w:val="21"/>
                    </w:rPr>
                  </w:pPr>
                  <w:r>
                    <w:rPr>
                      <w:rFonts w:hint="eastAsia"/>
                      <w:szCs w:val="21"/>
                    </w:rPr>
                    <w:t>防喷器</w:t>
                  </w:r>
                </w:p>
              </w:tc>
              <w:tc>
                <w:tcPr>
                  <w:tcW w:w="1056" w:type="pct"/>
                  <w:vAlign w:val="center"/>
                </w:tcPr>
                <w:p>
                  <w:pPr>
                    <w:pStyle w:val="20"/>
                    <w:rPr>
                      <w:szCs w:val="21"/>
                    </w:rPr>
                  </w:pPr>
                </w:p>
              </w:tc>
              <w:tc>
                <w:tcPr>
                  <w:tcW w:w="431" w:type="pct"/>
                  <w:vAlign w:val="center"/>
                </w:tcPr>
                <w:p>
                  <w:pPr>
                    <w:pStyle w:val="20"/>
                    <w:rPr>
                      <w:szCs w:val="21"/>
                    </w:rPr>
                  </w:pPr>
                  <w:r>
                    <w:rPr>
                      <w:rFonts w:hint="eastAsia"/>
                      <w:szCs w:val="21"/>
                    </w:rPr>
                    <w:t>台</w:t>
                  </w:r>
                </w:p>
              </w:tc>
              <w:tc>
                <w:tcPr>
                  <w:tcW w:w="431" w:type="pct"/>
                  <w:vAlign w:val="center"/>
                </w:tcPr>
                <w:p>
                  <w:pPr>
                    <w:pStyle w:val="20"/>
                    <w:rPr>
                      <w:szCs w:val="21"/>
                    </w:rPr>
                  </w:pPr>
                  <w:r>
                    <w:rPr>
                      <w:rFonts w:hint="eastAsia"/>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16</w:t>
                  </w:r>
                </w:p>
              </w:tc>
              <w:tc>
                <w:tcPr>
                  <w:tcW w:w="1096" w:type="pct"/>
                  <w:vAlign w:val="center"/>
                </w:tcPr>
                <w:p>
                  <w:pPr>
                    <w:pStyle w:val="20"/>
                    <w:rPr>
                      <w:szCs w:val="21"/>
                    </w:rPr>
                  </w:pPr>
                  <w:r>
                    <w:rPr>
                      <w:rFonts w:hint="eastAsia"/>
                      <w:szCs w:val="21"/>
                    </w:rPr>
                    <w:t>放喷管及罐</w:t>
                  </w:r>
                </w:p>
              </w:tc>
              <w:tc>
                <w:tcPr>
                  <w:tcW w:w="1056" w:type="pct"/>
                  <w:vAlign w:val="center"/>
                </w:tcPr>
                <w:p>
                  <w:pPr>
                    <w:pStyle w:val="20"/>
                    <w:rPr>
                      <w:szCs w:val="21"/>
                    </w:rPr>
                  </w:pPr>
                </w:p>
              </w:tc>
              <w:tc>
                <w:tcPr>
                  <w:tcW w:w="431" w:type="pct"/>
                  <w:vAlign w:val="center"/>
                </w:tcPr>
                <w:p>
                  <w:pPr>
                    <w:pStyle w:val="20"/>
                    <w:rPr>
                      <w:szCs w:val="21"/>
                    </w:rPr>
                  </w:pPr>
                  <w:r>
                    <w:rPr>
                      <w:rFonts w:hint="eastAsia"/>
                      <w:szCs w:val="21"/>
                    </w:rPr>
                    <w:t>套</w:t>
                  </w:r>
                </w:p>
              </w:tc>
              <w:tc>
                <w:tcPr>
                  <w:tcW w:w="431" w:type="pct"/>
                  <w:vAlign w:val="center"/>
                </w:tcPr>
                <w:p>
                  <w:pPr>
                    <w:pStyle w:val="20"/>
                    <w:rPr>
                      <w:szCs w:val="21"/>
                    </w:rPr>
                  </w:pPr>
                  <w:r>
                    <w:rPr>
                      <w:rFonts w:hint="eastAsia"/>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17</w:t>
                  </w:r>
                </w:p>
              </w:tc>
              <w:tc>
                <w:tcPr>
                  <w:tcW w:w="1096" w:type="pct"/>
                  <w:vAlign w:val="center"/>
                </w:tcPr>
                <w:p>
                  <w:pPr>
                    <w:pStyle w:val="20"/>
                    <w:rPr>
                      <w:szCs w:val="21"/>
                    </w:rPr>
                  </w:pPr>
                  <w:r>
                    <w:rPr>
                      <w:rFonts w:hint="eastAsia"/>
                      <w:szCs w:val="21"/>
                    </w:rPr>
                    <w:t>采油树</w:t>
                  </w:r>
                </w:p>
              </w:tc>
              <w:tc>
                <w:tcPr>
                  <w:tcW w:w="1056" w:type="pct"/>
                  <w:vAlign w:val="center"/>
                </w:tcPr>
                <w:p>
                  <w:pPr>
                    <w:pStyle w:val="20"/>
                    <w:rPr>
                      <w:szCs w:val="21"/>
                    </w:rPr>
                  </w:pPr>
                </w:p>
              </w:tc>
              <w:tc>
                <w:tcPr>
                  <w:tcW w:w="431" w:type="pct"/>
                  <w:vAlign w:val="center"/>
                </w:tcPr>
                <w:p>
                  <w:pPr>
                    <w:pStyle w:val="20"/>
                    <w:rPr>
                      <w:szCs w:val="21"/>
                    </w:rPr>
                  </w:pPr>
                  <w:r>
                    <w:rPr>
                      <w:rFonts w:hint="eastAsia"/>
                      <w:szCs w:val="21"/>
                    </w:rPr>
                    <w:t>套</w:t>
                  </w:r>
                </w:p>
              </w:tc>
              <w:tc>
                <w:tcPr>
                  <w:tcW w:w="431" w:type="pct"/>
                  <w:vAlign w:val="center"/>
                </w:tcPr>
                <w:p>
                  <w:pPr>
                    <w:pStyle w:val="20"/>
                    <w:rPr>
                      <w:szCs w:val="21"/>
                    </w:rPr>
                  </w:pPr>
                  <w:r>
                    <w:rPr>
                      <w:rFonts w:hint="eastAsia"/>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18</w:t>
                  </w:r>
                </w:p>
              </w:tc>
              <w:tc>
                <w:tcPr>
                  <w:tcW w:w="1096" w:type="pct"/>
                  <w:vAlign w:val="center"/>
                </w:tcPr>
                <w:p>
                  <w:pPr>
                    <w:pStyle w:val="20"/>
                    <w:rPr>
                      <w:szCs w:val="21"/>
                    </w:rPr>
                  </w:pPr>
                  <w:r>
                    <w:rPr>
                      <w:rFonts w:hint="eastAsia"/>
                      <w:szCs w:val="21"/>
                    </w:rPr>
                    <w:t>采出液临时储罐</w:t>
                  </w:r>
                </w:p>
              </w:tc>
              <w:tc>
                <w:tcPr>
                  <w:tcW w:w="1056" w:type="pct"/>
                  <w:vAlign w:val="center"/>
                </w:tcPr>
                <w:p>
                  <w:pPr>
                    <w:pStyle w:val="20"/>
                    <w:rPr>
                      <w:szCs w:val="21"/>
                    </w:rPr>
                  </w:pPr>
                  <w:r>
                    <w:rPr>
                      <w:rFonts w:hint="eastAsia"/>
                      <w:szCs w:val="21"/>
                    </w:rPr>
                    <w:t>60</w:t>
                  </w:r>
                  <w:r>
                    <w:rPr>
                      <w:szCs w:val="21"/>
                    </w:rPr>
                    <w:t>m</w:t>
                  </w:r>
                  <w:r>
                    <w:rPr>
                      <w:szCs w:val="21"/>
                      <w:vertAlign w:val="superscript"/>
                    </w:rPr>
                    <w:t>3</w:t>
                  </w:r>
                </w:p>
              </w:tc>
              <w:tc>
                <w:tcPr>
                  <w:tcW w:w="431" w:type="pct"/>
                  <w:vAlign w:val="center"/>
                </w:tcPr>
                <w:p>
                  <w:pPr>
                    <w:pStyle w:val="20"/>
                    <w:rPr>
                      <w:szCs w:val="21"/>
                    </w:rPr>
                  </w:pPr>
                  <w:r>
                    <w:rPr>
                      <w:rFonts w:hint="eastAsia"/>
                      <w:szCs w:val="21"/>
                    </w:rPr>
                    <w:t>座</w:t>
                  </w:r>
                </w:p>
              </w:tc>
              <w:tc>
                <w:tcPr>
                  <w:tcW w:w="431" w:type="pct"/>
                  <w:vAlign w:val="center"/>
                </w:tcPr>
                <w:p>
                  <w:pPr>
                    <w:pStyle w:val="20"/>
                    <w:rPr>
                      <w:szCs w:val="21"/>
                    </w:rPr>
                  </w:pPr>
                  <w:r>
                    <w:rPr>
                      <w:rFonts w:hint="eastAsia"/>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19</w:t>
                  </w:r>
                </w:p>
              </w:tc>
              <w:tc>
                <w:tcPr>
                  <w:tcW w:w="1096" w:type="pct"/>
                  <w:vAlign w:val="center"/>
                </w:tcPr>
                <w:p>
                  <w:pPr>
                    <w:pStyle w:val="20"/>
                    <w:rPr>
                      <w:szCs w:val="21"/>
                    </w:rPr>
                  </w:pPr>
                  <w:r>
                    <w:rPr>
                      <w:rFonts w:hint="eastAsia"/>
                      <w:szCs w:val="21"/>
                    </w:rPr>
                    <w:t>H</w:t>
                  </w:r>
                  <w:r>
                    <w:rPr>
                      <w:rFonts w:hint="eastAsia"/>
                      <w:szCs w:val="21"/>
                      <w:vertAlign w:val="subscript"/>
                    </w:rPr>
                    <w:t>2</w:t>
                  </w:r>
                  <w:r>
                    <w:rPr>
                      <w:rFonts w:hint="eastAsia"/>
                      <w:szCs w:val="21"/>
                    </w:rPr>
                    <w:t>S气体监测仪</w:t>
                  </w:r>
                </w:p>
              </w:tc>
              <w:tc>
                <w:tcPr>
                  <w:tcW w:w="1056" w:type="pct"/>
                  <w:vAlign w:val="center"/>
                </w:tcPr>
                <w:p>
                  <w:pPr>
                    <w:pStyle w:val="20"/>
                    <w:rPr>
                      <w:szCs w:val="21"/>
                    </w:rPr>
                  </w:pPr>
                </w:p>
              </w:tc>
              <w:tc>
                <w:tcPr>
                  <w:tcW w:w="431" w:type="pct"/>
                  <w:vAlign w:val="center"/>
                </w:tcPr>
                <w:p>
                  <w:pPr>
                    <w:pStyle w:val="20"/>
                    <w:rPr>
                      <w:szCs w:val="21"/>
                    </w:rPr>
                  </w:pPr>
                  <w:r>
                    <w:rPr>
                      <w:szCs w:val="21"/>
                    </w:rPr>
                    <w:t>部</w:t>
                  </w:r>
                </w:p>
              </w:tc>
              <w:tc>
                <w:tcPr>
                  <w:tcW w:w="431" w:type="pct"/>
                  <w:vAlign w:val="center"/>
                </w:tcPr>
                <w:p>
                  <w:pPr>
                    <w:pStyle w:val="20"/>
                    <w:rPr>
                      <w:szCs w:val="21"/>
                    </w:rPr>
                  </w:pPr>
                  <w:r>
                    <w:rPr>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20</w:t>
                  </w:r>
                </w:p>
              </w:tc>
              <w:tc>
                <w:tcPr>
                  <w:tcW w:w="1096" w:type="pct"/>
                  <w:vAlign w:val="center"/>
                </w:tcPr>
                <w:p>
                  <w:pPr>
                    <w:pStyle w:val="20"/>
                    <w:rPr>
                      <w:szCs w:val="21"/>
                    </w:rPr>
                  </w:pPr>
                  <w:r>
                    <w:rPr>
                      <w:rFonts w:hint="eastAsia"/>
                      <w:szCs w:val="21"/>
                    </w:rPr>
                    <w:t>可燃气体检测仪</w:t>
                  </w:r>
                </w:p>
              </w:tc>
              <w:tc>
                <w:tcPr>
                  <w:tcW w:w="1056" w:type="pct"/>
                  <w:vAlign w:val="center"/>
                </w:tcPr>
                <w:p>
                  <w:pPr>
                    <w:pStyle w:val="20"/>
                    <w:rPr>
                      <w:szCs w:val="21"/>
                    </w:rPr>
                  </w:pPr>
                </w:p>
              </w:tc>
              <w:tc>
                <w:tcPr>
                  <w:tcW w:w="431" w:type="pct"/>
                  <w:vAlign w:val="center"/>
                </w:tcPr>
                <w:p>
                  <w:pPr>
                    <w:pStyle w:val="20"/>
                    <w:rPr>
                      <w:szCs w:val="21"/>
                    </w:rPr>
                  </w:pPr>
                  <w:r>
                    <w:rPr>
                      <w:szCs w:val="21"/>
                    </w:rPr>
                    <w:t>部</w:t>
                  </w:r>
                </w:p>
              </w:tc>
              <w:tc>
                <w:tcPr>
                  <w:tcW w:w="431" w:type="pct"/>
                  <w:vAlign w:val="center"/>
                </w:tcPr>
                <w:p>
                  <w:pPr>
                    <w:pStyle w:val="20"/>
                    <w:rPr>
                      <w:szCs w:val="21"/>
                    </w:rPr>
                  </w:pPr>
                  <w:r>
                    <w:rPr>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21</w:t>
                  </w:r>
                </w:p>
              </w:tc>
              <w:tc>
                <w:tcPr>
                  <w:tcW w:w="1096" w:type="pct"/>
                  <w:vAlign w:val="center"/>
                </w:tcPr>
                <w:p>
                  <w:pPr>
                    <w:pStyle w:val="20"/>
                    <w:rPr>
                      <w:szCs w:val="21"/>
                    </w:rPr>
                  </w:pPr>
                  <w:r>
                    <w:rPr>
                      <w:rFonts w:hint="eastAsia"/>
                      <w:szCs w:val="21"/>
                    </w:rPr>
                    <w:t>消防砂</w:t>
                  </w:r>
                </w:p>
              </w:tc>
              <w:tc>
                <w:tcPr>
                  <w:tcW w:w="1056" w:type="pct"/>
                  <w:vAlign w:val="center"/>
                </w:tcPr>
                <w:p>
                  <w:pPr>
                    <w:pStyle w:val="20"/>
                    <w:rPr>
                      <w:szCs w:val="21"/>
                    </w:rPr>
                  </w:pPr>
                </w:p>
              </w:tc>
              <w:tc>
                <w:tcPr>
                  <w:tcW w:w="431" w:type="pct"/>
                  <w:vAlign w:val="center"/>
                </w:tcPr>
                <w:p>
                  <w:pPr>
                    <w:pStyle w:val="20"/>
                    <w:rPr>
                      <w:szCs w:val="21"/>
                    </w:rPr>
                  </w:pPr>
                  <w:r>
                    <w:rPr>
                      <w:rFonts w:hint="eastAsia"/>
                      <w:szCs w:val="21"/>
                    </w:rPr>
                    <w:t>m</w:t>
                  </w:r>
                  <w:r>
                    <w:rPr>
                      <w:rFonts w:hint="eastAsia"/>
                      <w:szCs w:val="21"/>
                      <w:vertAlign w:val="superscript"/>
                    </w:rPr>
                    <w:t>3</w:t>
                  </w:r>
                </w:p>
              </w:tc>
              <w:tc>
                <w:tcPr>
                  <w:tcW w:w="431" w:type="pct"/>
                  <w:vAlign w:val="center"/>
                </w:tcPr>
                <w:p>
                  <w:pPr>
                    <w:pStyle w:val="20"/>
                    <w:rPr>
                      <w:szCs w:val="21"/>
                    </w:rPr>
                  </w:pPr>
                  <w:r>
                    <w:rPr>
                      <w:rFonts w:hint="eastAsia"/>
                      <w:szCs w:val="21"/>
                    </w:rPr>
                    <w:t>0.5</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22</w:t>
                  </w:r>
                </w:p>
              </w:tc>
              <w:tc>
                <w:tcPr>
                  <w:tcW w:w="1096" w:type="pct"/>
                  <w:vAlign w:val="center"/>
                </w:tcPr>
                <w:p>
                  <w:pPr>
                    <w:pStyle w:val="20"/>
                    <w:rPr>
                      <w:szCs w:val="21"/>
                    </w:rPr>
                  </w:pPr>
                  <w:r>
                    <w:rPr>
                      <w:rFonts w:hint="eastAsia"/>
                      <w:szCs w:val="21"/>
                    </w:rPr>
                    <w:t>推车式干粉灭火器</w:t>
                  </w:r>
                </w:p>
              </w:tc>
              <w:tc>
                <w:tcPr>
                  <w:tcW w:w="1056" w:type="pct"/>
                  <w:vAlign w:val="center"/>
                </w:tcPr>
                <w:p>
                  <w:pPr>
                    <w:pStyle w:val="20"/>
                    <w:rPr>
                      <w:szCs w:val="21"/>
                    </w:rPr>
                  </w:pPr>
                  <w:r>
                    <w:rPr>
                      <w:szCs w:val="21"/>
                    </w:rPr>
                    <w:t>MFZL35型</w:t>
                  </w:r>
                </w:p>
              </w:tc>
              <w:tc>
                <w:tcPr>
                  <w:tcW w:w="431" w:type="pct"/>
                  <w:vAlign w:val="center"/>
                </w:tcPr>
                <w:p>
                  <w:pPr>
                    <w:pStyle w:val="20"/>
                    <w:rPr>
                      <w:szCs w:val="21"/>
                    </w:rPr>
                  </w:pPr>
                  <w:r>
                    <w:rPr>
                      <w:rFonts w:hint="eastAsia"/>
                      <w:szCs w:val="21"/>
                    </w:rPr>
                    <w:t>具</w:t>
                  </w:r>
                </w:p>
              </w:tc>
              <w:tc>
                <w:tcPr>
                  <w:tcW w:w="431" w:type="pct"/>
                  <w:vAlign w:val="center"/>
                </w:tcPr>
                <w:p>
                  <w:pPr>
                    <w:pStyle w:val="20"/>
                    <w:rPr>
                      <w:szCs w:val="21"/>
                    </w:rPr>
                  </w:pPr>
                  <w:r>
                    <w:rPr>
                      <w:rFonts w:hint="eastAsia"/>
                      <w:szCs w:val="21"/>
                    </w:rPr>
                    <w:t>1</w:t>
                  </w:r>
                </w:p>
              </w:tc>
              <w:tc>
                <w:tcPr>
                  <w:tcW w:w="1630" w:type="pct"/>
                  <w:vAlign w:val="center"/>
                </w:tcPr>
                <w:p>
                  <w:pPr>
                    <w:pStyle w:val="2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353" w:type="pct"/>
                  <w:vAlign w:val="center"/>
                </w:tcPr>
                <w:p>
                  <w:pPr>
                    <w:pStyle w:val="20"/>
                    <w:rPr>
                      <w:szCs w:val="21"/>
                    </w:rPr>
                  </w:pPr>
                  <w:r>
                    <w:rPr>
                      <w:rFonts w:hint="eastAsia"/>
                      <w:szCs w:val="21"/>
                    </w:rPr>
                    <w:t>23</w:t>
                  </w:r>
                </w:p>
              </w:tc>
              <w:tc>
                <w:tcPr>
                  <w:tcW w:w="1096" w:type="pct"/>
                  <w:vAlign w:val="center"/>
                </w:tcPr>
                <w:p>
                  <w:pPr>
                    <w:pStyle w:val="20"/>
                    <w:rPr>
                      <w:szCs w:val="21"/>
                    </w:rPr>
                  </w:pPr>
                  <w:r>
                    <w:rPr>
                      <w:rFonts w:hint="eastAsia"/>
                      <w:szCs w:val="21"/>
                    </w:rPr>
                    <w:t>干粉灭火器</w:t>
                  </w:r>
                </w:p>
              </w:tc>
              <w:tc>
                <w:tcPr>
                  <w:tcW w:w="1056" w:type="pct"/>
                  <w:vAlign w:val="center"/>
                </w:tcPr>
                <w:p>
                  <w:pPr>
                    <w:pStyle w:val="20"/>
                    <w:rPr>
                      <w:szCs w:val="21"/>
                    </w:rPr>
                  </w:pPr>
                  <w:r>
                    <w:rPr>
                      <w:szCs w:val="21"/>
                    </w:rPr>
                    <w:t>MFZL8型</w:t>
                  </w:r>
                </w:p>
              </w:tc>
              <w:tc>
                <w:tcPr>
                  <w:tcW w:w="431" w:type="pct"/>
                  <w:vAlign w:val="center"/>
                </w:tcPr>
                <w:p>
                  <w:pPr>
                    <w:pStyle w:val="20"/>
                    <w:rPr>
                      <w:szCs w:val="21"/>
                    </w:rPr>
                  </w:pPr>
                  <w:r>
                    <w:rPr>
                      <w:rFonts w:hint="eastAsia"/>
                      <w:szCs w:val="21"/>
                    </w:rPr>
                    <w:t>具</w:t>
                  </w:r>
                </w:p>
              </w:tc>
              <w:tc>
                <w:tcPr>
                  <w:tcW w:w="431" w:type="pct"/>
                  <w:vAlign w:val="center"/>
                </w:tcPr>
                <w:p>
                  <w:pPr>
                    <w:pStyle w:val="20"/>
                    <w:rPr>
                      <w:szCs w:val="21"/>
                    </w:rPr>
                  </w:pPr>
                  <w:r>
                    <w:rPr>
                      <w:rFonts w:hint="eastAsia"/>
                      <w:szCs w:val="21"/>
                    </w:rPr>
                    <w:t>4</w:t>
                  </w:r>
                </w:p>
              </w:tc>
              <w:tc>
                <w:tcPr>
                  <w:tcW w:w="1630" w:type="pct"/>
                  <w:vAlign w:val="center"/>
                </w:tcPr>
                <w:p>
                  <w:pPr>
                    <w:pStyle w:val="20"/>
                    <w:rPr>
                      <w:szCs w:val="21"/>
                    </w:rPr>
                  </w:pPr>
                </w:p>
              </w:tc>
            </w:tr>
          </w:tbl>
          <w:p>
            <w:pPr>
              <w:ind w:firstLine="0" w:firstLineChars="0"/>
              <w:rPr>
                <w:b/>
              </w:rPr>
            </w:pPr>
            <w:r>
              <w:rPr>
                <w:b/>
              </w:rPr>
              <w:t>5.3 钻井液体系</w:t>
            </w:r>
          </w:p>
          <w:p>
            <w:pPr>
              <w:ind w:firstLine="480"/>
            </w:pPr>
            <w:r>
              <w:t>本项目钻井过程中需要使用的钻井液均采用水基钻井液</w:t>
            </w:r>
            <w:r>
              <w:rPr>
                <w:rFonts w:hint="eastAsia"/>
              </w:rPr>
              <w:t>（不含磺化物质），</w:t>
            </w:r>
            <w:r>
              <w:t>一开钻井液主要成分为：坂土、CMC（中）、Na</w:t>
            </w:r>
            <w:r>
              <w:rPr>
                <w:vertAlign w:val="subscript"/>
              </w:rPr>
              <w:t>2</w:t>
            </w:r>
            <w:r>
              <w:t>CO</w:t>
            </w:r>
            <w:r>
              <w:rPr>
                <w:vertAlign w:val="subscript"/>
              </w:rPr>
              <w:t>3</w:t>
            </w:r>
            <w:r>
              <w:t>；二开和三开采用聚合物钻井液体系，主要成分为：坂土、Na</w:t>
            </w:r>
            <w:r>
              <w:rPr>
                <w:vertAlign w:val="subscript"/>
              </w:rPr>
              <w:t>2</w:t>
            </w:r>
            <w:r>
              <w:t>CO</w:t>
            </w:r>
            <w:r>
              <w:rPr>
                <w:vertAlign w:val="subscript"/>
              </w:rPr>
              <w:t>3</w:t>
            </w:r>
            <w:r>
              <w:t>、MAN101、KOH、MAN10等。</w:t>
            </w:r>
            <w:r>
              <w:rPr>
                <w:rFonts w:hint="eastAsia"/>
              </w:rPr>
              <w:t>部署井钻井液使用情况参考邻井，具体以钻井工程设计为准。</w:t>
            </w:r>
            <w:r>
              <w:t>本项目</w:t>
            </w:r>
            <w:r>
              <w:rPr>
                <w:rFonts w:hint="eastAsia"/>
              </w:rPr>
              <w:t>单井</w:t>
            </w:r>
            <w:r>
              <w:t>钻井液用量为</w:t>
            </w:r>
            <w:r>
              <w:rPr>
                <w:rFonts w:hint="eastAsia"/>
              </w:rPr>
              <w:t>539</w:t>
            </w:r>
            <w:r>
              <w:t>m</w:t>
            </w:r>
            <w:r>
              <w:rPr>
                <w:vertAlign w:val="superscript"/>
              </w:rPr>
              <w:t>3</w:t>
            </w:r>
            <w:r>
              <w:t>。</w:t>
            </w:r>
          </w:p>
          <w:p>
            <w:pPr>
              <w:pStyle w:val="18"/>
            </w:pPr>
            <w:bookmarkStart w:id="9" w:name="_Toc19878"/>
            <w:bookmarkStart w:id="10" w:name="_Hlk2508898"/>
            <w:r>
              <w:rPr>
                <w:rFonts w:hint="eastAsia"/>
              </w:rPr>
              <w:t>6</w:t>
            </w:r>
            <w:r>
              <w:t xml:space="preserve"> 公用工程</w:t>
            </w:r>
            <w:bookmarkEnd w:id="9"/>
          </w:p>
          <w:p>
            <w:pPr>
              <w:pStyle w:val="19"/>
            </w:pPr>
            <w:r>
              <w:rPr>
                <w:rFonts w:hint="eastAsia"/>
              </w:rPr>
              <w:t>6</w:t>
            </w:r>
            <w:r>
              <w:t>.1 给水</w:t>
            </w:r>
          </w:p>
          <w:p>
            <w:pPr>
              <w:adjustRightInd/>
              <w:snapToGrid/>
              <w:ind w:firstLine="480"/>
            </w:pPr>
            <w:r>
              <w:t>钻井期间用水主要为钻井液配比用水和生活用水。钻井液配置好后拉运至项目区，生活用水从</w:t>
            </w:r>
            <w:r>
              <w:rPr>
                <w:rFonts w:hint="eastAsia"/>
              </w:rPr>
              <w:t>乌尔禾区</w:t>
            </w:r>
            <w:r>
              <w:t>通过罐车拉运至项目区。根据建设单位提供的资料，泥浆配比用水约为钻井液用量的90%，则钻井期钻井液配比用水</w:t>
            </w:r>
            <w:r>
              <w:rPr>
                <w:rFonts w:hint="eastAsia"/>
              </w:rPr>
              <w:t>1455.3</w:t>
            </w:r>
            <w:r>
              <w:t>m</w:t>
            </w:r>
            <w:r>
              <w:rPr>
                <w:vertAlign w:val="superscript"/>
              </w:rPr>
              <w:t>3</w:t>
            </w:r>
            <w:r>
              <w:t>。</w:t>
            </w:r>
            <w:bookmarkStart w:id="11" w:name="_Hlk2809316"/>
            <w:r>
              <w:t>钻井期施工人员3</w:t>
            </w:r>
            <w:r>
              <w:rPr>
                <w:rFonts w:hint="eastAsia"/>
              </w:rPr>
              <w:t>5</w:t>
            </w:r>
            <w:r>
              <w:t>人，按每人每天用水80L计算，钻井期</w:t>
            </w:r>
            <w:r>
              <w:rPr>
                <w:rFonts w:hint="eastAsia"/>
              </w:rPr>
              <w:t>90</w:t>
            </w:r>
            <w:r>
              <w:t>天，生活用水</w:t>
            </w:r>
            <w:r>
              <w:rPr>
                <w:rFonts w:hint="eastAsia"/>
              </w:rPr>
              <w:t>252</w:t>
            </w:r>
            <w:r>
              <w:t>m</w:t>
            </w:r>
            <w:r>
              <w:rPr>
                <w:vertAlign w:val="superscript"/>
              </w:rPr>
              <w:t>3</w:t>
            </w:r>
            <w:r>
              <w:t>。试油期设2人值班，不在井区食宿。</w:t>
            </w:r>
          </w:p>
          <w:p>
            <w:pPr>
              <w:pStyle w:val="19"/>
            </w:pPr>
            <w:bookmarkStart w:id="12" w:name="_Hlk27231025"/>
            <w:r>
              <w:rPr>
                <w:rFonts w:hint="eastAsia"/>
              </w:rPr>
              <w:t>6</w:t>
            </w:r>
            <w:r>
              <w:t>.2 排水</w:t>
            </w:r>
          </w:p>
          <w:p>
            <w:pPr>
              <w:pStyle w:val="21"/>
              <w:adjustRightInd/>
              <w:snapToGrid/>
              <w:rPr>
                <w:rFonts w:ascii="Times New Roman" w:hAnsi="Times New Roman"/>
              </w:rPr>
            </w:pPr>
            <w:r>
              <w:rPr>
                <w:rFonts w:ascii="Times New Roman" w:hAnsi="Times New Roman"/>
              </w:rPr>
              <w:t>钻井过程中采用“钻井泥浆不落地技术”，分离出的液相循环使用，无钻井废水产生。废水主要为钻井期生活污水和试油期洗井废水。</w:t>
            </w:r>
          </w:p>
          <w:p>
            <w:pPr>
              <w:pStyle w:val="21"/>
              <w:adjustRightInd/>
              <w:snapToGrid/>
              <w:rPr>
                <w:rFonts w:ascii="Times New Roman" w:hAnsi="Times New Roman"/>
              </w:rPr>
            </w:pPr>
            <w:r>
              <w:rPr>
                <w:rFonts w:ascii="Times New Roman" w:hAnsi="Times New Roman"/>
              </w:rPr>
              <w:t>钻井期生活污水产生量占用水量的80%，污水产生量</w:t>
            </w:r>
            <w:r>
              <w:rPr>
                <w:rFonts w:hint="eastAsia" w:ascii="Times New Roman" w:hAnsi="Times New Roman"/>
              </w:rPr>
              <w:t>201.6</w:t>
            </w:r>
            <w:r>
              <w:rPr>
                <w:rFonts w:ascii="Times New Roman" w:hAnsi="Times New Roman"/>
              </w:rPr>
              <w:t>m</w:t>
            </w:r>
            <w:r>
              <w:rPr>
                <w:rFonts w:ascii="Times New Roman" w:hAnsi="Times New Roman"/>
                <w:vertAlign w:val="superscript"/>
              </w:rPr>
              <w:t>3</w:t>
            </w:r>
            <w:r>
              <w:rPr>
                <w:rFonts w:ascii="Times New Roman" w:hAnsi="Times New Roman"/>
              </w:rPr>
              <w:t>，定期清运至</w:t>
            </w:r>
            <w:r>
              <w:rPr>
                <w:rFonts w:hint="eastAsia" w:ascii="Times New Roman" w:hAnsi="Times New Roman"/>
              </w:rPr>
              <w:t>乌尔禾区</w:t>
            </w:r>
            <w:r>
              <w:rPr>
                <w:rFonts w:ascii="Times New Roman" w:hAnsi="Times New Roman"/>
              </w:rPr>
              <w:t>污水处理厂处理。</w:t>
            </w:r>
          </w:p>
          <w:p>
            <w:pPr>
              <w:pStyle w:val="21"/>
              <w:adjustRightInd/>
              <w:snapToGrid/>
              <w:rPr>
                <w:rFonts w:ascii="Times New Roman" w:hAnsi="Times New Roman"/>
                <w:kern w:val="0"/>
              </w:rPr>
            </w:pPr>
            <w:r>
              <w:rPr>
                <w:rFonts w:ascii="Times New Roman" w:hAnsi="Times New Roman"/>
              </w:rPr>
              <w:t>试油期间的洗井废水收集后拉运至</w:t>
            </w:r>
            <w:r>
              <w:rPr>
                <w:rFonts w:hint="eastAsia" w:ascii="Times New Roman" w:hAnsi="Times New Roman"/>
              </w:rPr>
              <w:t>乌尔禾稀油处理站</w:t>
            </w:r>
            <w:r>
              <w:rPr>
                <w:rFonts w:ascii="Times New Roman" w:hAnsi="Times New Roman"/>
              </w:rPr>
              <w:t>的污水处理系统处理。</w:t>
            </w:r>
          </w:p>
          <w:bookmarkEnd w:id="11"/>
          <w:bookmarkEnd w:id="12"/>
          <w:p>
            <w:pPr>
              <w:pStyle w:val="19"/>
            </w:pPr>
            <w:r>
              <w:rPr>
                <w:rFonts w:hint="eastAsia"/>
              </w:rPr>
              <w:t>6</w:t>
            </w:r>
            <w:r>
              <w:t>.3 供电</w:t>
            </w:r>
          </w:p>
          <w:p>
            <w:pPr>
              <w:adjustRightInd/>
              <w:snapToGrid/>
              <w:ind w:firstLine="480"/>
            </w:pPr>
            <w:r>
              <w:t>钻井作业过程中需要使用柴油机和柴油发电机，要消耗一定量的柴油。钻井及试油期</w:t>
            </w:r>
            <w:r>
              <w:rPr>
                <w:rFonts w:hint="eastAsia"/>
              </w:rPr>
              <w:t>3</w:t>
            </w:r>
            <w:r>
              <w:t>口井</w:t>
            </w:r>
            <w:r>
              <w:rPr>
                <w:rFonts w:hint="eastAsia"/>
              </w:rPr>
              <w:t>共</w:t>
            </w:r>
            <w:r>
              <w:t>消耗柴油量</w:t>
            </w:r>
            <w:r>
              <w:rPr>
                <w:rFonts w:hint="eastAsia"/>
              </w:rPr>
              <w:t>266.4</w:t>
            </w:r>
            <w:r>
              <w:t>t。</w:t>
            </w:r>
          </w:p>
          <w:bookmarkEnd w:id="10"/>
          <w:p>
            <w:pPr>
              <w:pStyle w:val="19"/>
              <w:rPr>
                <w:sz w:val="28"/>
                <w:szCs w:val="28"/>
              </w:rPr>
            </w:pPr>
            <w:r>
              <w:rPr>
                <w:rFonts w:hint="eastAsia"/>
                <w:sz w:val="28"/>
                <w:szCs w:val="28"/>
              </w:rPr>
              <w:t>7</w:t>
            </w:r>
            <w:r>
              <w:rPr>
                <w:sz w:val="28"/>
                <w:szCs w:val="28"/>
              </w:rPr>
              <w:t xml:space="preserve"> 劳动定员及施工周期</w:t>
            </w:r>
          </w:p>
          <w:p>
            <w:pPr>
              <w:pStyle w:val="18"/>
              <w:ind w:firstLine="480" w:firstLineChars="200"/>
              <w:rPr>
                <w:b w:val="0"/>
                <w:sz w:val="24"/>
              </w:rPr>
            </w:pPr>
            <w:r>
              <w:rPr>
                <w:b w:val="0"/>
                <w:sz w:val="24"/>
              </w:rPr>
              <w:t>项目区设</w:t>
            </w:r>
            <w:r>
              <w:rPr>
                <w:rFonts w:hint="eastAsia"/>
                <w:b w:val="0"/>
                <w:sz w:val="24"/>
              </w:rPr>
              <w:t>1座</w:t>
            </w:r>
            <w:r>
              <w:rPr>
                <w:b w:val="0"/>
                <w:sz w:val="24"/>
              </w:rPr>
              <w:t>生活营地，钻井期人员</w:t>
            </w:r>
            <w:r>
              <w:rPr>
                <w:rFonts w:hint="eastAsia"/>
                <w:b w:val="0"/>
                <w:sz w:val="24"/>
              </w:rPr>
              <w:t>35</w:t>
            </w:r>
            <w:r>
              <w:rPr>
                <w:b w:val="0"/>
                <w:sz w:val="24"/>
              </w:rPr>
              <w:t>人。试油期巡井2人，不在井场食宿。单井钻井周期</w:t>
            </w:r>
            <w:r>
              <w:rPr>
                <w:rFonts w:hint="eastAsia"/>
                <w:b w:val="0"/>
                <w:sz w:val="24"/>
              </w:rPr>
              <w:t>30</w:t>
            </w:r>
            <w:r>
              <w:rPr>
                <w:b w:val="0"/>
                <w:sz w:val="24"/>
              </w:rPr>
              <w:t>d，单井试油周期180d。</w:t>
            </w:r>
          </w:p>
          <w:p>
            <w:pPr>
              <w:pStyle w:val="18"/>
            </w:pPr>
            <w:bookmarkStart w:id="13" w:name="_Toc21054"/>
            <w:bookmarkStart w:id="14" w:name="_Hlk2528771"/>
            <w:r>
              <w:rPr>
                <w:rFonts w:hint="eastAsia"/>
              </w:rPr>
              <w:t>8</w:t>
            </w:r>
            <w:r>
              <w:t xml:space="preserve"> 工程占地</w:t>
            </w:r>
            <w:bookmarkEnd w:id="13"/>
          </w:p>
          <w:p>
            <w:pPr>
              <w:ind w:firstLine="480"/>
            </w:pPr>
            <w:r>
              <w:rPr>
                <w:rFonts w:hint="eastAsia"/>
              </w:rPr>
              <w:t>工程占地包括</w:t>
            </w:r>
            <w:r>
              <w:t>井场、生活营地和临时道路等，均为临时占地，占地面积</w:t>
            </w:r>
            <w:r>
              <w:rPr>
                <w:rFonts w:hint="eastAsia"/>
              </w:rPr>
              <w:t>25595</w:t>
            </w:r>
            <w:r>
              <w:t>m</w:t>
            </w:r>
            <w:r>
              <w:rPr>
                <w:vertAlign w:val="superscript"/>
              </w:rPr>
              <w:t>2</w:t>
            </w:r>
            <w:r>
              <w:t>，占地类型为</w:t>
            </w:r>
            <w:r>
              <w:rPr>
                <w:rFonts w:hint="eastAsia"/>
              </w:rPr>
              <w:t>其他草地</w:t>
            </w:r>
            <w:r>
              <w:t>。占地面积情况见表2-</w:t>
            </w:r>
            <w:r>
              <w:rPr>
                <w:rFonts w:hint="eastAsia"/>
              </w:rPr>
              <w:t>9</w:t>
            </w:r>
            <w:r>
              <w:t>。</w:t>
            </w:r>
          </w:p>
          <w:p>
            <w:pPr>
              <w:pStyle w:val="2"/>
              <w:spacing w:line="360" w:lineRule="auto"/>
            </w:pPr>
            <w:bookmarkStart w:id="15" w:name="_Toc24849"/>
            <w:bookmarkStart w:id="16" w:name="_Toc7640_WPSOffice_Level2"/>
            <w:bookmarkStart w:id="17" w:name="_Toc5036"/>
            <w:r>
              <w:t>表2-</w:t>
            </w:r>
            <w:r>
              <w:rPr>
                <w:rFonts w:hint="eastAsia"/>
              </w:rPr>
              <w:t>9</w:t>
            </w:r>
            <w:r>
              <w:t xml:space="preserve">  占地情况一览表</w:t>
            </w:r>
            <w:bookmarkEnd w:id="15"/>
            <w:bookmarkEnd w:id="16"/>
            <w:bookmarkEnd w:id="17"/>
          </w:p>
          <w:tbl>
            <w:tblPr>
              <w:tblStyle w:val="14"/>
              <w:tblW w:w="8386" w:type="dxa"/>
              <w:tblInd w:w="0" w:type="dxa"/>
              <w:tblLayout w:type="fixed"/>
              <w:tblCellMar>
                <w:top w:w="0" w:type="dxa"/>
                <w:left w:w="0" w:type="dxa"/>
                <w:bottom w:w="0" w:type="dxa"/>
                <w:right w:w="0" w:type="dxa"/>
              </w:tblCellMar>
            </w:tblPr>
            <w:tblGrid>
              <w:gridCol w:w="910"/>
              <w:gridCol w:w="1039"/>
              <w:gridCol w:w="965"/>
              <w:gridCol w:w="834"/>
              <w:gridCol w:w="1582"/>
              <w:gridCol w:w="1791"/>
              <w:gridCol w:w="1265"/>
            </w:tblGrid>
            <w:tr>
              <w:tblPrEx>
                <w:tblCellMar>
                  <w:top w:w="0" w:type="dxa"/>
                  <w:left w:w="0" w:type="dxa"/>
                  <w:bottom w:w="0" w:type="dxa"/>
                  <w:right w:w="0" w:type="dxa"/>
                </w:tblCellMar>
              </w:tblPrEx>
              <w:trPr>
                <w:trHeight w:val="463" w:hRule="atLeast"/>
              </w:trPr>
              <w:tc>
                <w:tcPr>
                  <w:tcW w:w="5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分区</w:t>
                  </w:r>
                </w:p>
              </w:tc>
              <w:tc>
                <w:tcPr>
                  <w:tcW w:w="6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工程</w:t>
                  </w:r>
                </w:p>
              </w:tc>
              <w:tc>
                <w:tcPr>
                  <w:tcW w:w="57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工程量</w:t>
                  </w:r>
                </w:p>
              </w:tc>
              <w:tc>
                <w:tcPr>
                  <w:tcW w:w="4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单位</w:t>
                  </w:r>
                </w:p>
              </w:tc>
              <w:tc>
                <w:tcPr>
                  <w:tcW w:w="9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占地面积（m</w:t>
                  </w:r>
                  <w:r>
                    <w:rPr>
                      <w:b/>
                      <w:bCs/>
                      <w:szCs w:val="21"/>
                      <w:vertAlign w:val="superscript"/>
                    </w:rPr>
                    <w:t>2</w:t>
                  </w:r>
                  <w:r>
                    <w:rPr>
                      <w:b/>
                      <w:bCs/>
                      <w:szCs w:val="21"/>
                    </w:rPr>
                    <w:t>）</w:t>
                  </w:r>
                </w:p>
              </w:tc>
              <w:tc>
                <w:tcPr>
                  <w:tcW w:w="1068"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备注</w:t>
                  </w:r>
                </w:p>
              </w:tc>
              <w:tc>
                <w:tcPr>
                  <w:tcW w:w="754"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b/>
                      <w:bCs/>
                      <w:szCs w:val="21"/>
                    </w:rPr>
                  </w:pPr>
                  <w:r>
                    <w:rPr>
                      <w:b/>
                      <w:bCs/>
                      <w:szCs w:val="21"/>
                    </w:rPr>
                    <w:t>占地类型</w:t>
                  </w:r>
                </w:p>
              </w:tc>
            </w:tr>
            <w:tr>
              <w:tblPrEx>
                <w:tblCellMar>
                  <w:top w:w="0" w:type="dxa"/>
                  <w:left w:w="0" w:type="dxa"/>
                  <w:bottom w:w="0" w:type="dxa"/>
                  <w:right w:w="0" w:type="dxa"/>
                </w:tblCellMar>
              </w:tblPrEx>
              <w:trPr>
                <w:trHeight w:val="373" w:hRule="atLeast"/>
              </w:trPr>
              <w:tc>
                <w:tcPr>
                  <w:tcW w:w="542"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szCs w:val="21"/>
                    </w:rPr>
                    <w:t>井场区</w:t>
                  </w:r>
                </w:p>
              </w:tc>
              <w:tc>
                <w:tcPr>
                  <w:tcW w:w="618"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szCs w:val="21"/>
                    </w:rPr>
                    <w:t>井区</w:t>
                  </w:r>
                </w:p>
              </w:tc>
              <w:tc>
                <w:tcPr>
                  <w:tcW w:w="575"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3</w:t>
                  </w:r>
                </w:p>
              </w:tc>
              <w:tc>
                <w:tcPr>
                  <w:tcW w:w="496"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szCs w:val="21"/>
                    </w:rPr>
                    <w:t>座</w:t>
                  </w:r>
                </w:p>
              </w:tc>
              <w:tc>
                <w:tcPr>
                  <w:tcW w:w="943"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19125</w:t>
                  </w:r>
                </w:p>
              </w:tc>
              <w:tc>
                <w:tcPr>
                  <w:tcW w:w="1068" w:type="pc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单座：75</w:t>
                  </w:r>
                  <w:r>
                    <w:rPr>
                      <w:szCs w:val="21"/>
                    </w:rPr>
                    <w:t>m×</w:t>
                  </w:r>
                  <w:r>
                    <w:rPr>
                      <w:rFonts w:hint="eastAsia"/>
                      <w:szCs w:val="21"/>
                    </w:rPr>
                    <w:t>8</w:t>
                  </w:r>
                  <w:r>
                    <w:rPr>
                      <w:szCs w:val="21"/>
                    </w:rPr>
                    <w:t>5m</w:t>
                  </w:r>
                </w:p>
              </w:tc>
              <w:tc>
                <w:tcPr>
                  <w:tcW w:w="754" w:type="pct"/>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其他草地</w:t>
                  </w:r>
                </w:p>
              </w:tc>
            </w:tr>
            <w:tr>
              <w:tblPrEx>
                <w:tblCellMar>
                  <w:top w:w="0" w:type="dxa"/>
                  <w:left w:w="0" w:type="dxa"/>
                  <w:bottom w:w="0" w:type="dxa"/>
                  <w:right w:w="0" w:type="dxa"/>
                </w:tblCellMar>
              </w:tblPrEx>
              <w:trPr>
                <w:trHeight w:val="340" w:hRule="atLeast"/>
              </w:trPr>
              <w:tc>
                <w:tcPr>
                  <w:tcW w:w="5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道路</w:t>
                  </w:r>
                </w:p>
              </w:tc>
              <w:tc>
                <w:tcPr>
                  <w:tcW w:w="6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砂石路面</w:t>
                  </w:r>
                </w:p>
              </w:tc>
              <w:tc>
                <w:tcPr>
                  <w:tcW w:w="57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0.745</w:t>
                  </w:r>
                </w:p>
              </w:tc>
              <w:tc>
                <w:tcPr>
                  <w:tcW w:w="4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km</w:t>
                  </w:r>
                </w:p>
              </w:tc>
              <w:tc>
                <w:tcPr>
                  <w:tcW w:w="9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4470</w:t>
                  </w:r>
                </w:p>
              </w:tc>
              <w:tc>
                <w:tcPr>
                  <w:tcW w:w="106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宽度</w:t>
                  </w:r>
                  <w:r>
                    <w:rPr>
                      <w:rFonts w:hint="eastAsia"/>
                      <w:szCs w:val="21"/>
                    </w:rPr>
                    <w:t>6</w:t>
                  </w:r>
                  <w:r>
                    <w:rPr>
                      <w:szCs w:val="21"/>
                    </w:rPr>
                    <w:t>m</w:t>
                  </w:r>
                </w:p>
              </w:tc>
              <w:tc>
                <w:tcPr>
                  <w:tcW w:w="754" w:type="pct"/>
                  <w:vMerge w:val="continue"/>
                  <w:tcBorders>
                    <w:left w:val="single" w:color="000000" w:sz="4" w:space="0"/>
                    <w:right w:val="single" w:color="000000" w:sz="4" w:space="0"/>
                  </w:tcBorders>
                  <w:tcMar>
                    <w:top w:w="15" w:type="dxa"/>
                    <w:left w:w="15" w:type="dxa"/>
                    <w:right w:w="15" w:type="dxa"/>
                  </w:tcMar>
                  <w:vAlign w:val="center"/>
                </w:tcPr>
                <w:p>
                  <w:pPr>
                    <w:pStyle w:val="20"/>
                    <w:rPr>
                      <w:szCs w:val="21"/>
                    </w:rPr>
                  </w:pPr>
                </w:p>
              </w:tc>
            </w:tr>
            <w:tr>
              <w:tblPrEx>
                <w:tblCellMar>
                  <w:top w:w="0" w:type="dxa"/>
                  <w:left w:w="0" w:type="dxa"/>
                  <w:bottom w:w="0" w:type="dxa"/>
                  <w:right w:w="0" w:type="dxa"/>
                </w:tblCellMar>
              </w:tblPrEx>
              <w:trPr>
                <w:trHeight w:val="362" w:hRule="atLeast"/>
              </w:trPr>
              <w:tc>
                <w:tcPr>
                  <w:tcW w:w="116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生活营地</w:t>
                  </w:r>
                </w:p>
              </w:tc>
              <w:tc>
                <w:tcPr>
                  <w:tcW w:w="57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1</w:t>
                  </w:r>
                </w:p>
              </w:tc>
              <w:tc>
                <w:tcPr>
                  <w:tcW w:w="4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座</w:t>
                  </w:r>
                </w:p>
              </w:tc>
              <w:tc>
                <w:tcPr>
                  <w:tcW w:w="9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2000</w:t>
                  </w:r>
                </w:p>
              </w:tc>
              <w:tc>
                <w:tcPr>
                  <w:tcW w:w="106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40</w:t>
                  </w:r>
                  <w:r>
                    <w:rPr>
                      <w:szCs w:val="21"/>
                    </w:rPr>
                    <w:t>m×</w:t>
                  </w:r>
                  <w:r>
                    <w:rPr>
                      <w:rFonts w:hint="eastAsia"/>
                      <w:szCs w:val="21"/>
                    </w:rPr>
                    <w:t>50</w:t>
                  </w:r>
                  <w:r>
                    <w:rPr>
                      <w:szCs w:val="21"/>
                    </w:rPr>
                    <w:t>m</w:t>
                  </w:r>
                </w:p>
              </w:tc>
              <w:tc>
                <w:tcPr>
                  <w:tcW w:w="754" w:type="pct"/>
                  <w:vMerge w:val="continue"/>
                  <w:tcBorders>
                    <w:left w:val="single" w:color="000000" w:sz="4" w:space="0"/>
                    <w:right w:val="single" w:color="000000" w:sz="4" w:space="0"/>
                  </w:tcBorders>
                  <w:tcMar>
                    <w:top w:w="15" w:type="dxa"/>
                    <w:left w:w="15" w:type="dxa"/>
                    <w:right w:w="15" w:type="dxa"/>
                  </w:tcMar>
                  <w:vAlign w:val="center"/>
                </w:tcPr>
                <w:p>
                  <w:pPr>
                    <w:pStyle w:val="20"/>
                    <w:rPr>
                      <w:szCs w:val="21"/>
                    </w:rPr>
                  </w:pPr>
                </w:p>
              </w:tc>
            </w:tr>
            <w:tr>
              <w:tblPrEx>
                <w:tblCellMar>
                  <w:top w:w="0" w:type="dxa"/>
                  <w:left w:w="0" w:type="dxa"/>
                  <w:bottom w:w="0" w:type="dxa"/>
                  <w:right w:w="0" w:type="dxa"/>
                </w:tblCellMar>
              </w:tblPrEx>
              <w:trPr>
                <w:trHeight w:val="340" w:hRule="atLeast"/>
              </w:trPr>
              <w:tc>
                <w:tcPr>
                  <w:tcW w:w="2233" w:type="pct"/>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合计</w:t>
                  </w:r>
                </w:p>
              </w:tc>
              <w:tc>
                <w:tcPr>
                  <w:tcW w:w="9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rFonts w:hint="eastAsia"/>
                      <w:szCs w:val="21"/>
                    </w:rPr>
                    <w:t>25595</w:t>
                  </w:r>
                </w:p>
              </w:tc>
              <w:tc>
                <w:tcPr>
                  <w:tcW w:w="106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r>
                    <w:rPr>
                      <w:szCs w:val="21"/>
                    </w:rPr>
                    <w:t>/</w:t>
                  </w:r>
                </w:p>
              </w:tc>
              <w:tc>
                <w:tcPr>
                  <w:tcW w:w="754" w:type="pct"/>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pStyle w:val="20"/>
                    <w:rPr>
                      <w:szCs w:val="21"/>
                    </w:rPr>
                  </w:pPr>
                </w:p>
              </w:tc>
            </w:tr>
            <w:bookmarkEnd w:id="14"/>
          </w:tbl>
          <w:p>
            <w:pPr>
              <w:pStyle w:val="18"/>
            </w:pPr>
            <w:r>
              <w:rPr>
                <w:rFonts w:hint="eastAsia"/>
              </w:rPr>
              <w:t>9</w:t>
            </w:r>
            <w:r>
              <w:t xml:space="preserve"> 依托工程</w:t>
            </w:r>
          </w:p>
          <w:p>
            <w:pPr>
              <w:ind w:firstLine="480"/>
            </w:pPr>
            <w:r>
              <w:t>本工程</w:t>
            </w:r>
            <w:r>
              <w:rPr>
                <w:rFonts w:hint="eastAsia"/>
              </w:rPr>
              <w:t>试油期的采出液和洗井废水</w:t>
            </w:r>
            <w:r>
              <w:t>依托</w:t>
            </w:r>
            <w:r>
              <w:rPr>
                <w:rFonts w:hint="eastAsia"/>
              </w:rPr>
              <w:t>乌尔禾稀油处理站处置</w:t>
            </w:r>
            <w:r>
              <w:t>，钻井期施工人员生活垃圾清运至</w:t>
            </w:r>
            <w:r>
              <w:rPr>
                <w:rFonts w:hint="eastAsia"/>
              </w:rPr>
              <w:t>乌尔禾区</w:t>
            </w:r>
            <w:r>
              <w:t>生活垃圾</w:t>
            </w:r>
            <w:r>
              <w:rPr>
                <w:rFonts w:hint="eastAsia"/>
              </w:rPr>
              <w:t>填埋场处置</w:t>
            </w:r>
            <w:r>
              <w:t>，生活污水排入防渗收集池清运至乌尔禾区污水处理厂处理。</w:t>
            </w:r>
          </w:p>
          <w:p>
            <w:pPr>
              <w:pStyle w:val="19"/>
            </w:pPr>
            <w:r>
              <w:rPr>
                <w:rFonts w:hint="eastAsia"/>
              </w:rPr>
              <w:t>9.1 乌尔禾稀油</w:t>
            </w:r>
            <w:r>
              <w:t>处理站</w:t>
            </w:r>
          </w:p>
          <w:p>
            <w:pPr>
              <w:ind w:firstLine="480"/>
            </w:pPr>
            <w:r>
              <w:t>本项目</w:t>
            </w:r>
            <w:r>
              <w:rPr>
                <w:rFonts w:hint="eastAsia"/>
              </w:rPr>
              <w:t>试油期的采出液和洗井废水</w:t>
            </w:r>
            <w:r>
              <w:t>由罐车收集后拉运至</w:t>
            </w:r>
            <w:r>
              <w:rPr>
                <w:rFonts w:hint="eastAsia"/>
              </w:rPr>
              <w:t>乌尔禾稀油处理站</w:t>
            </w:r>
            <w:r>
              <w:t>污水处理系统</w:t>
            </w:r>
            <w:r>
              <w:rPr>
                <w:rFonts w:hint="eastAsia"/>
              </w:rPr>
              <w:t>处置</w:t>
            </w:r>
            <w:r>
              <w:t>。</w:t>
            </w:r>
            <w:r>
              <w:rPr>
                <w:rFonts w:hint="eastAsia"/>
              </w:rPr>
              <w:t>乌尔禾稀油处理站位于乌尔禾镇南侧</w:t>
            </w:r>
            <w:r>
              <w:t>3.0km</w:t>
            </w:r>
            <w:r>
              <w:rPr>
                <w:rFonts w:hint="eastAsia"/>
              </w:rPr>
              <w:t>处，地理坐标为</w:t>
            </w:r>
            <w:r>
              <w:t>N46°03'51.49"</w:t>
            </w:r>
            <w:r>
              <w:rPr>
                <w:rFonts w:hint="eastAsia"/>
              </w:rPr>
              <w:t>，</w:t>
            </w:r>
            <w:r>
              <w:t>E85°40'32.73"</w:t>
            </w:r>
            <w:r>
              <w:rPr>
                <w:rFonts w:hint="eastAsia"/>
              </w:rPr>
              <w:t>。</w:t>
            </w:r>
          </w:p>
          <w:p>
            <w:pPr>
              <w:ind w:firstLine="480"/>
            </w:pPr>
            <w:r>
              <w:rPr>
                <w:rFonts w:hint="eastAsia"/>
              </w:rPr>
              <w:t>该站于2008年进行了扩建，乌尔禾稀油处理站扩建工程包含在《新疆油田分公司风城油田作业区乌</w:t>
            </w:r>
            <w:r>
              <w:t>33</w:t>
            </w:r>
            <w:r>
              <w:rPr>
                <w:rFonts w:hint="eastAsia"/>
              </w:rPr>
              <w:t>、乌</w:t>
            </w:r>
            <w:r>
              <w:t>36</w:t>
            </w:r>
            <w:r>
              <w:rPr>
                <w:rFonts w:hint="eastAsia"/>
              </w:rPr>
              <w:t>井区开发建设项目环境影响报告书》中，</w:t>
            </w:r>
            <w:r>
              <w:t>2008</w:t>
            </w:r>
            <w:r>
              <w:rPr>
                <w:rFonts w:hint="eastAsia"/>
              </w:rPr>
              <w:t>年</w:t>
            </w:r>
            <w:r>
              <w:t>9</w:t>
            </w:r>
            <w:r>
              <w:rPr>
                <w:rFonts w:hint="eastAsia"/>
              </w:rPr>
              <w:t>月</w:t>
            </w:r>
            <w:r>
              <w:t>22</w:t>
            </w:r>
            <w:r>
              <w:rPr>
                <w:rFonts w:hint="eastAsia"/>
              </w:rPr>
              <w:t>日新疆维吾尔自治区环境保护局以新环监函</w:t>
            </w:r>
            <w:r>
              <w:rPr>
                <w:rFonts w:hint="eastAsia"/>
                <w:bCs/>
              </w:rPr>
              <w:t>〔</w:t>
            </w:r>
            <w:r>
              <w:t>2008</w:t>
            </w:r>
            <w:r>
              <w:rPr>
                <w:rFonts w:hint="eastAsia"/>
                <w:bCs/>
              </w:rPr>
              <w:t>〕</w:t>
            </w:r>
            <w:r>
              <w:t>417</w:t>
            </w:r>
            <w:r>
              <w:rPr>
                <w:rFonts w:hint="eastAsia"/>
              </w:rPr>
              <w:t>号文予以批复。</w:t>
            </w:r>
            <w:r>
              <w:t>2012</w:t>
            </w:r>
            <w:r>
              <w:rPr>
                <w:rFonts w:hint="eastAsia"/>
              </w:rPr>
              <w:t>年</w:t>
            </w:r>
            <w:r>
              <w:t>4</w:t>
            </w:r>
            <w:r>
              <w:rPr>
                <w:rFonts w:hint="eastAsia"/>
              </w:rPr>
              <w:t>月通过新疆维吾尔自治区环境保护厅验收。</w:t>
            </w:r>
          </w:p>
          <w:p>
            <w:pPr>
              <w:ind w:firstLine="480"/>
            </w:pPr>
            <w:r>
              <w:rPr>
                <w:rFonts w:hint="eastAsia"/>
              </w:rPr>
              <w:t>乌尔禾稀油处理站污水处理采用重力流程：沉降+混凝沉降+压力过滤流程。原油处理系统来水自流进入重力沉降罐，缓冲罐出水经反应泵提升进入污水反应罐和斜板沉降罐，去除大部分乳化油及悬浮物，出水经双滤料过滤泵提升进入改性纤维球过滤器，随后进入注水罐，最终全部回注地下。处理过程中污水浓缩池中污水进入水处理系统进行处理，池中产生的污泥经过处理后由具有处理资质的单位运走处理。污水处理系统工艺流程图见图2-5。</w:t>
            </w:r>
          </w:p>
          <w:p>
            <w:pPr>
              <w:ind w:firstLine="0" w:firstLineChars="0"/>
            </w:pPr>
            <w:r>
              <w:rPr>
                <w:rFonts w:hint="eastAsia"/>
              </w:rPr>
              <w:drawing>
                <wp:inline distT="0" distB="0" distL="114300" distR="114300">
                  <wp:extent cx="5161915" cy="3023235"/>
                  <wp:effectExtent l="9525" t="9525" r="10160" b="15240"/>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14"/>
                          <a:stretch>
                            <a:fillRect/>
                          </a:stretch>
                        </pic:blipFill>
                        <pic:spPr>
                          <a:xfrm>
                            <a:off x="0" y="0"/>
                            <a:ext cx="5161915" cy="3023235"/>
                          </a:xfrm>
                          <a:prstGeom prst="rect">
                            <a:avLst/>
                          </a:prstGeom>
                          <a:noFill/>
                          <a:ln w="9525" cap="flat" cmpd="sng">
                            <a:solidFill>
                              <a:srgbClr val="000000"/>
                            </a:solidFill>
                            <a:prstDash val="solid"/>
                            <a:round/>
                            <a:headEnd type="none" w="med" len="med"/>
                            <a:tailEnd type="none" w="med" len="med"/>
                          </a:ln>
                        </pic:spPr>
                      </pic:pic>
                    </a:graphicData>
                  </a:graphic>
                </wp:inline>
              </w:drawing>
            </w:r>
          </w:p>
          <w:p>
            <w:pPr>
              <w:ind w:firstLine="422"/>
              <w:jc w:val="center"/>
              <w:rPr>
                <w:sz w:val="21"/>
                <w:szCs w:val="21"/>
              </w:rPr>
            </w:pPr>
            <w:r>
              <w:rPr>
                <w:rFonts w:hAnsi="宋体"/>
                <w:b/>
                <w:kern w:val="24"/>
                <w:sz w:val="21"/>
                <w:szCs w:val="21"/>
                <w:lang w:val="zh-CN"/>
              </w:rPr>
              <w:t>图</w:t>
            </w:r>
            <w:r>
              <w:rPr>
                <w:rFonts w:hint="eastAsia"/>
                <w:b/>
                <w:kern w:val="24"/>
                <w:sz w:val="21"/>
                <w:szCs w:val="21"/>
              </w:rPr>
              <w:t>2-5</w:t>
            </w:r>
            <w:r>
              <w:rPr>
                <w:b/>
                <w:kern w:val="24"/>
                <w:sz w:val="21"/>
                <w:szCs w:val="21"/>
                <w:lang w:val="zh-CN"/>
              </w:rPr>
              <w:t xml:space="preserve">  </w:t>
            </w:r>
            <w:r>
              <w:rPr>
                <w:rFonts w:hAnsi="宋体"/>
                <w:b/>
                <w:kern w:val="24"/>
                <w:sz w:val="21"/>
                <w:szCs w:val="21"/>
                <w:lang w:val="zh-CN"/>
              </w:rPr>
              <w:t>乌尔禾稀油处理站污水处理系统工艺流程图</w:t>
            </w:r>
          </w:p>
          <w:p>
            <w:pPr>
              <w:adjustRightInd/>
              <w:snapToGrid/>
              <w:ind w:firstLine="480"/>
              <w:rPr>
                <w:kern w:val="0"/>
              </w:rPr>
            </w:pPr>
            <w:r>
              <w:rPr>
                <w:rFonts w:hint="eastAsia"/>
              </w:rPr>
              <w:t>乌尔禾稀油处理站设计污水处理规模4000m</w:t>
            </w:r>
            <w:r>
              <w:rPr>
                <w:rFonts w:hint="eastAsia"/>
                <w:vertAlign w:val="superscript"/>
              </w:rPr>
              <w:t>3</w:t>
            </w:r>
            <w:r>
              <w:rPr>
                <w:rFonts w:hint="eastAsia"/>
              </w:rPr>
              <w:t>/d，</w:t>
            </w:r>
            <w:r>
              <w:t>目前实际处理量为</w:t>
            </w:r>
            <w:r>
              <w:rPr>
                <w:rFonts w:hint="eastAsia"/>
              </w:rPr>
              <w:t>30</w:t>
            </w:r>
            <w:r>
              <w:t>00m</w:t>
            </w:r>
            <w:r>
              <w:rPr>
                <w:vertAlign w:val="superscript"/>
              </w:rPr>
              <w:t>3</w:t>
            </w:r>
            <w:r>
              <w:t>/d</w:t>
            </w:r>
            <w:r>
              <w:rPr>
                <w:rFonts w:hint="eastAsia"/>
              </w:rPr>
              <w:t>，剩余处理规模1000m</w:t>
            </w:r>
            <w:r>
              <w:rPr>
                <w:rFonts w:hint="eastAsia"/>
                <w:vertAlign w:val="superscript"/>
              </w:rPr>
              <w:t>3</w:t>
            </w:r>
            <w:r>
              <w:rPr>
                <w:rFonts w:hint="eastAsia"/>
              </w:rPr>
              <w:t>/d。本项目单井试油期180天，采出液存在不确定性，本项目试油期共产生洗井废水量为81.39t，乌尔禾稀油处理站污水处理能力可满足本项目的处理需求。</w:t>
            </w:r>
          </w:p>
          <w:p>
            <w:pPr>
              <w:ind w:firstLine="480"/>
              <w:rPr>
                <w:rFonts w:ascii="宋体" w:hAnsi="宋体"/>
                <w:kern w:val="24"/>
              </w:rPr>
            </w:pPr>
            <w:r>
              <w:rPr>
                <w:kern w:val="24"/>
              </w:rPr>
              <w:t>根据《固定污染源排污许可分类管理名录（2019年版）》的要求，本次</w:t>
            </w:r>
            <w:r>
              <w:rPr>
                <w:rFonts w:hint="eastAsia"/>
                <w:kern w:val="24"/>
              </w:rPr>
              <w:t>井下废水</w:t>
            </w:r>
            <w:r>
              <w:rPr>
                <w:kern w:val="24"/>
              </w:rPr>
              <w:t>交由</w:t>
            </w:r>
            <w:r>
              <w:rPr>
                <w:rFonts w:hint="eastAsia"/>
                <w:kern w:val="24"/>
              </w:rPr>
              <w:t>风城作业区</w:t>
            </w:r>
            <w:r>
              <w:rPr>
                <w:kern w:val="24"/>
              </w:rPr>
              <w:t>进行管理。</w:t>
            </w:r>
            <w:r>
              <w:rPr>
                <w:rFonts w:hint="eastAsia"/>
                <w:kern w:val="24"/>
              </w:rPr>
              <w:t>乌尔禾稀油处理站</w:t>
            </w:r>
            <w:r>
              <w:rPr>
                <w:kern w:val="24"/>
              </w:rPr>
              <w:t>排污许可证情况见表</w:t>
            </w:r>
            <w:r>
              <w:rPr>
                <w:rFonts w:hint="eastAsia"/>
                <w:kern w:val="24"/>
              </w:rPr>
              <w:t>2-10</w:t>
            </w:r>
            <w:r>
              <w:rPr>
                <w:kern w:val="24"/>
              </w:rPr>
              <w:t>。</w:t>
            </w:r>
          </w:p>
          <w:p>
            <w:pPr>
              <w:autoSpaceDE w:val="0"/>
              <w:autoSpaceDN w:val="0"/>
              <w:ind w:firstLine="422"/>
              <w:jc w:val="center"/>
              <w:rPr>
                <w:b/>
                <w:bCs/>
                <w:snapToGrid w:val="0"/>
                <w:kern w:val="0"/>
                <w:sz w:val="21"/>
                <w:szCs w:val="21"/>
              </w:rPr>
            </w:pPr>
            <w:r>
              <w:rPr>
                <w:b/>
                <w:bCs/>
                <w:snapToGrid w:val="0"/>
                <w:kern w:val="0"/>
                <w:sz w:val="21"/>
                <w:szCs w:val="21"/>
              </w:rPr>
              <w:t>表</w:t>
            </w:r>
            <w:r>
              <w:rPr>
                <w:rFonts w:hint="eastAsia"/>
                <w:b/>
                <w:bCs/>
                <w:snapToGrid w:val="0"/>
                <w:kern w:val="0"/>
                <w:sz w:val="21"/>
                <w:szCs w:val="21"/>
              </w:rPr>
              <w:t>2-10</w:t>
            </w:r>
            <w:r>
              <w:rPr>
                <w:b/>
                <w:bCs/>
                <w:snapToGrid w:val="0"/>
                <w:kern w:val="0"/>
                <w:sz w:val="21"/>
                <w:szCs w:val="21"/>
              </w:rPr>
              <w:t xml:space="preserve">  </w:t>
            </w:r>
            <w:r>
              <w:rPr>
                <w:rFonts w:hint="eastAsia"/>
                <w:b/>
                <w:bCs/>
                <w:snapToGrid w:val="0"/>
                <w:kern w:val="0"/>
                <w:sz w:val="21"/>
                <w:szCs w:val="21"/>
              </w:rPr>
              <w:t>风城作业区乌尔禾稀油处理站</w:t>
            </w:r>
            <w:r>
              <w:rPr>
                <w:b/>
                <w:bCs/>
                <w:snapToGrid w:val="0"/>
                <w:kern w:val="0"/>
                <w:sz w:val="21"/>
                <w:szCs w:val="21"/>
              </w:rPr>
              <w:t>排污许可证情况</w:t>
            </w:r>
          </w:p>
          <w:tbl>
            <w:tblPr>
              <w:tblStyle w:val="14"/>
              <w:tblW w:w="8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2147"/>
              <w:gridCol w:w="1856"/>
              <w:gridCol w:w="151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7" w:type="dxa"/>
                  <w:vAlign w:val="center"/>
                </w:tcPr>
                <w:p>
                  <w:pPr>
                    <w:pStyle w:val="24"/>
                    <w:rPr>
                      <w:rFonts w:ascii="Times New Roman" w:hAnsi="Times New Roman"/>
                      <w:b/>
                      <w:bCs/>
                    </w:rPr>
                  </w:pPr>
                  <w:r>
                    <w:rPr>
                      <w:rFonts w:ascii="Times New Roman" w:hAnsi="Times New Roman"/>
                      <w:b/>
                      <w:bCs/>
                    </w:rPr>
                    <w:t>单位名称</w:t>
                  </w:r>
                </w:p>
              </w:tc>
              <w:tc>
                <w:tcPr>
                  <w:tcW w:w="2147" w:type="dxa"/>
                  <w:vAlign w:val="center"/>
                </w:tcPr>
                <w:p>
                  <w:pPr>
                    <w:pStyle w:val="24"/>
                    <w:rPr>
                      <w:rFonts w:ascii="Times New Roman" w:hAnsi="Times New Roman"/>
                      <w:b/>
                      <w:bCs/>
                    </w:rPr>
                  </w:pPr>
                  <w:r>
                    <w:rPr>
                      <w:rFonts w:ascii="Times New Roman" w:hAnsi="Times New Roman"/>
                      <w:b/>
                      <w:bCs/>
                    </w:rPr>
                    <w:t>生产经营场所</w:t>
                  </w:r>
                </w:p>
              </w:tc>
              <w:tc>
                <w:tcPr>
                  <w:tcW w:w="1856" w:type="dxa"/>
                  <w:vAlign w:val="center"/>
                </w:tcPr>
                <w:p>
                  <w:pPr>
                    <w:pStyle w:val="24"/>
                    <w:rPr>
                      <w:rFonts w:ascii="Times New Roman" w:hAnsi="Times New Roman"/>
                      <w:b/>
                      <w:bCs/>
                    </w:rPr>
                  </w:pPr>
                  <w:r>
                    <w:rPr>
                      <w:rFonts w:ascii="Times New Roman" w:hAnsi="Times New Roman"/>
                      <w:b/>
                      <w:bCs/>
                    </w:rPr>
                    <w:t>排污许可证编号</w:t>
                  </w:r>
                </w:p>
              </w:tc>
              <w:tc>
                <w:tcPr>
                  <w:tcW w:w="1510" w:type="dxa"/>
                  <w:vAlign w:val="center"/>
                </w:tcPr>
                <w:p>
                  <w:pPr>
                    <w:pStyle w:val="24"/>
                    <w:rPr>
                      <w:rFonts w:ascii="Times New Roman" w:hAnsi="Times New Roman"/>
                      <w:b/>
                      <w:bCs/>
                    </w:rPr>
                  </w:pPr>
                  <w:r>
                    <w:rPr>
                      <w:rFonts w:ascii="Times New Roman" w:hAnsi="Times New Roman"/>
                      <w:b/>
                      <w:bCs/>
                    </w:rPr>
                    <w:t>有效期限</w:t>
                  </w:r>
                </w:p>
              </w:tc>
              <w:tc>
                <w:tcPr>
                  <w:tcW w:w="1245" w:type="dxa"/>
                  <w:vAlign w:val="center"/>
                </w:tcPr>
                <w:p>
                  <w:pPr>
                    <w:pStyle w:val="24"/>
                    <w:rPr>
                      <w:rFonts w:ascii="Times New Roman" w:hAnsi="Times New Roman"/>
                      <w:b/>
                      <w:bCs/>
                    </w:rPr>
                  </w:pPr>
                  <w:r>
                    <w:rPr>
                      <w:rFonts w:ascii="Times New Roman" w:hAnsi="Times New Roman"/>
                      <w:b/>
                      <w:bCs/>
                    </w:rPr>
                    <w:t>管理类别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697" w:type="dxa"/>
                  <w:vAlign w:val="center"/>
                </w:tcPr>
                <w:p>
                  <w:pPr>
                    <w:pStyle w:val="24"/>
                    <w:ind w:left="0" w:firstLine="0"/>
                    <w:rPr>
                      <w:rFonts w:ascii="Times New Roman" w:hAnsi="Times New Roman"/>
                    </w:rPr>
                  </w:pPr>
                  <w:r>
                    <w:rPr>
                      <w:rFonts w:ascii="Times New Roman" w:hAnsi="Times New Roman"/>
                    </w:rPr>
                    <w:t>风城作业区乌尔禾稀油处理站</w:t>
                  </w:r>
                </w:p>
              </w:tc>
              <w:tc>
                <w:tcPr>
                  <w:tcW w:w="2147" w:type="dxa"/>
                  <w:vAlign w:val="center"/>
                </w:tcPr>
                <w:p>
                  <w:pPr>
                    <w:pStyle w:val="24"/>
                    <w:rPr>
                      <w:rFonts w:ascii="Times New Roman" w:hAnsi="Times New Roman"/>
                    </w:rPr>
                  </w:pPr>
                  <w:r>
                    <w:rPr>
                      <w:rFonts w:ascii="Times New Roman" w:hAnsi="Times New Roman"/>
                    </w:rPr>
                    <w:t>克拉玛依市乌尔禾区</w:t>
                  </w:r>
                </w:p>
              </w:tc>
              <w:tc>
                <w:tcPr>
                  <w:tcW w:w="1856" w:type="dxa"/>
                  <w:vAlign w:val="center"/>
                </w:tcPr>
                <w:p>
                  <w:pPr>
                    <w:pStyle w:val="24"/>
                    <w:ind w:left="0" w:firstLine="0"/>
                    <w:rPr>
                      <w:rFonts w:ascii="Times New Roman" w:hAnsi="Times New Roman"/>
                    </w:rPr>
                  </w:pPr>
                  <w:r>
                    <w:rPr>
                      <w:rFonts w:ascii="Times New Roman" w:hAnsi="Times New Roman"/>
                    </w:rPr>
                    <w:t>91650200715597998M023Y</w:t>
                  </w:r>
                </w:p>
              </w:tc>
              <w:tc>
                <w:tcPr>
                  <w:tcW w:w="1510" w:type="dxa"/>
                  <w:vAlign w:val="center"/>
                </w:tcPr>
                <w:p>
                  <w:pPr>
                    <w:pStyle w:val="24"/>
                    <w:ind w:left="0" w:firstLine="0"/>
                    <w:rPr>
                      <w:rFonts w:ascii="Times New Roman" w:hAnsi="Times New Roman"/>
                    </w:rPr>
                  </w:pPr>
                  <w:r>
                    <w:rPr>
                      <w:rFonts w:ascii="Times New Roman" w:hAnsi="Times New Roman"/>
                    </w:rPr>
                    <w:t>2020.4.12-2025.4.11</w:t>
                  </w:r>
                </w:p>
              </w:tc>
              <w:tc>
                <w:tcPr>
                  <w:tcW w:w="1245" w:type="dxa"/>
                  <w:vAlign w:val="center"/>
                </w:tcPr>
                <w:p>
                  <w:pPr>
                    <w:pStyle w:val="24"/>
                    <w:rPr>
                      <w:rFonts w:ascii="Times New Roman" w:hAnsi="Times New Roman"/>
                    </w:rPr>
                  </w:pPr>
                  <w:r>
                    <w:rPr>
                      <w:rFonts w:ascii="Times New Roman" w:hAnsi="Times New Roman"/>
                    </w:rPr>
                    <w:t>简化管理</w:t>
                  </w:r>
                </w:p>
              </w:tc>
            </w:tr>
          </w:tbl>
          <w:p>
            <w:pPr>
              <w:pStyle w:val="19"/>
            </w:pPr>
            <w:r>
              <w:rPr>
                <w:rFonts w:hint="eastAsia"/>
              </w:rPr>
              <w:t>9</w:t>
            </w:r>
            <w:r>
              <w:t>.</w:t>
            </w:r>
            <w:r>
              <w:rPr>
                <w:rFonts w:hint="eastAsia"/>
              </w:rPr>
              <w:t>2 乌尔禾区</w:t>
            </w:r>
            <w:r>
              <w:t>生活垃圾</w:t>
            </w:r>
            <w:r>
              <w:rPr>
                <w:rFonts w:hint="eastAsia"/>
              </w:rPr>
              <w:t>填埋</w:t>
            </w:r>
            <w:r>
              <w:t>场</w:t>
            </w:r>
          </w:p>
          <w:p>
            <w:pPr>
              <w:ind w:firstLine="480"/>
            </w:pPr>
            <w:r>
              <w:t>钻井期生活垃圾经收集后清运至</w:t>
            </w:r>
            <w:r>
              <w:rPr>
                <w:rFonts w:hint="eastAsia"/>
              </w:rPr>
              <w:t>乌尔禾区</w:t>
            </w:r>
            <w:r>
              <w:t>生活垃圾填埋场处置。</w:t>
            </w:r>
          </w:p>
          <w:p>
            <w:pPr>
              <w:pStyle w:val="2"/>
              <w:spacing w:line="360" w:lineRule="auto"/>
              <w:ind w:firstLine="480" w:firstLineChars="200"/>
              <w:jc w:val="left"/>
              <w:rPr>
                <w:b w:val="0"/>
                <w:bCs/>
                <w:sz w:val="24"/>
                <w:szCs w:val="24"/>
              </w:rPr>
            </w:pPr>
            <w:r>
              <w:rPr>
                <w:rFonts w:hint="eastAsia"/>
                <w:b w:val="0"/>
                <w:bCs/>
                <w:sz w:val="24"/>
                <w:szCs w:val="24"/>
              </w:rPr>
              <w:t>乌尔禾区生活垃圾填埋场位于乌尔禾区西南</w:t>
            </w:r>
            <w:r>
              <w:rPr>
                <w:b w:val="0"/>
                <w:bCs/>
                <w:sz w:val="24"/>
                <w:szCs w:val="24"/>
              </w:rPr>
              <w:t>7km</w:t>
            </w:r>
            <w:r>
              <w:rPr>
                <w:rFonts w:hint="eastAsia"/>
                <w:b w:val="0"/>
                <w:bCs/>
                <w:sz w:val="24"/>
                <w:szCs w:val="24"/>
              </w:rPr>
              <w:t>。其采用卫生填埋处理工艺，设计总库容约</w:t>
            </w:r>
            <w:r>
              <w:rPr>
                <w:b w:val="0"/>
                <w:bCs/>
                <w:sz w:val="24"/>
                <w:szCs w:val="24"/>
              </w:rPr>
              <w:t>240</w:t>
            </w:r>
            <w:r>
              <w:rPr>
                <w:rFonts w:hint="eastAsia"/>
                <w:b w:val="0"/>
                <w:bCs/>
                <w:sz w:val="24"/>
                <w:szCs w:val="24"/>
              </w:rPr>
              <w:t>万立方米，实际有效库容为</w:t>
            </w:r>
            <w:r>
              <w:rPr>
                <w:b w:val="0"/>
                <w:bCs/>
                <w:sz w:val="24"/>
                <w:szCs w:val="24"/>
              </w:rPr>
              <w:t>192</w:t>
            </w:r>
            <w:r>
              <w:rPr>
                <w:rFonts w:hint="eastAsia"/>
                <w:b w:val="0"/>
                <w:bCs/>
                <w:sz w:val="24"/>
                <w:szCs w:val="24"/>
              </w:rPr>
              <w:t>万立方米，目前已经使用库容</w:t>
            </w:r>
            <w:r>
              <w:rPr>
                <w:b w:val="0"/>
                <w:bCs/>
                <w:sz w:val="24"/>
                <w:szCs w:val="24"/>
              </w:rPr>
              <w:t>48</w:t>
            </w:r>
            <w:r>
              <w:rPr>
                <w:rFonts w:hint="eastAsia"/>
                <w:b w:val="0"/>
                <w:bCs/>
                <w:sz w:val="24"/>
                <w:szCs w:val="24"/>
              </w:rPr>
              <w:t>万立方米，日处理规模</w:t>
            </w:r>
            <w:r>
              <w:rPr>
                <w:b w:val="0"/>
                <w:bCs/>
                <w:sz w:val="24"/>
                <w:szCs w:val="24"/>
              </w:rPr>
              <w:t>30t/d</w:t>
            </w:r>
            <w:r>
              <w:rPr>
                <w:rFonts w:hint="eastAsia"/>
                <w:b w:val="0"/>
                <w:bCs/>
                <w:sz w:val="24"/>
                <w:szCs w:val="24"/>
              </w:rPr>
              <w:t>。该垃圾填埋场</w:t>
            </w:r>
            <w:r>
              <w:rPr>
                <w:b w:val="0"/>
                <w:bCs/>
                <w:sz w:val="24"/>
                <w:szCs w:val="24"/>
              </w:rPr>
              <w:t>2016</w:t>
            </w:r>
            <w:r>
              <w:rPr>
                <w:rFonts w:hint="eastAsia"/>
                <w:b w:val="0"/>
                <w:bCs/>
                <w:sz w:val="24"/>
                <w:szCs w:val="24"/>
              </w:rPr>
              <w:t>年</w:t>
            </w:r>
            <w:r>
              <w:rPr>
                <w:b w:val="0"/>
                <w:bCs/>
                <w:sz w:val="24"/>
                <w:szCs w:val="24"/>
              </w:rPr>
              <w:t>7</w:t>
            </w:r>
            <w:r>
              <w:rPr>
                <w:rFonts w:hint="eastAsia"/>
                <w:b w:val="0"/>
                <w:bCs/>
                <w:sz w:val="24"/>
                <w:szCs w:val="24"/>
              </w:rPr>
              <w:t>月</w:t>
            </w:r>
            <w:r>
              <w:rPr>
                <w:b w:val="0"/>
                <w:bCs/>
                <w:sz w:val="24"/>
                <w:szCs w:val="24"/>
              </w:rPr>
              <w:t>26</w:t>
            </w:r>
            <w:r>
              <w:rPr>
                <w:rFonts w:hint="eastAsia"/>
                <w:b w:val="0"/>
                <w:bCs/>
                <w:sz w:val="24"/>
                <w:szCs w:val="24"/>
              </w:rPr>
              <w:t>日取得原克拉玛依市环保局批复（克环保函〔</w:t>
            </w:r>
            <w:r>
              <w:rPr>
                <w:b w:val="0"/>
                <w:bCs/>
                <w:sz w:val="24"/>
                <w:szCs w:val="24"/>
              </w:rPr>
              <w:t>2016</w:t>
            </w:r>
            <w:r>
              <w:rPr>
                <w:rFonts w:hint="eastAsia"/>
                <w:b w:val="0"/>
                <w:bCs/>
                <w:sz w:val="24"/>
                <w:szCs w:val="24"/>
              </w:rPr>
              <w:t>〕</w:t>
            </w:r>
            <w:r>
              <w:rPr>
                <w:b w:val="0"/>
                <w:bCs/>
                <w:sz w:val="24"/>
                <w:szCs w:val="24"/>
              </w:rPr>
              <w:t>376</w:t>
            </w:r>
            <w:r>
              <w:rPr>
                <w:rFonts w:hint="eastAsia"/>
                <w:b w:val="0"/>
                <w:bCs/>
                <w:sz w:val="24"/>
                <w:szCs w:val="24"/>
              </w:rPr>
              <w:t>号）。</w:t>
            </w:r>
          </w:p>
          <w:p>
            <w:pPr>
              <w:ind w:firstLine="480"/>
            </w:pPr>
            <w:r>
              <w:t>本项目整个钻井期生活垃圾量</w:t>
            </w:r>
            <w:r>
              <w:rPr>
                <w:rFonts w:hint="eastAsia"/>
              </w:rPr>
              <w:t>1.58</w:t>
            </w:r>
            <w:r>
              <w:t>t，</w:t>
            </w:r>
            <w:r>
              <w:rPr>
                <w:rFonts w:hint="eastAsia"/>
              </w:rPr>
              <w:t>产生量</w:t>
            </w:r>
            <w:r>
              <w:t>很</w:t>
            </w:r>
            <w:r>
              <w:rPr>
                <w:rFonts w:hint="eastAsia"/>
              </w:rPr>
              <w:t>少</w:t>
            </w:r>
            <w:r>
              <w:t>，</w:t>
            </w:r>
            <w:r>
              <w:rPr>
                <w:rFonts w:hint="eastAsia"/>
              </w:rPr>
              <w:t>目前</w:t>
            </w:r>
            <w:r>
              <w:rPr>
                <w:rFonts w:hint="eastAsia"/>
                <w:bCs/>
              </w:rPr>
              <w:t>乌尔禾区生活垃圾填埋场</w:t>
            </w:r>
            <w:r>
              <w:rPr>
                <w:rFonts w:hint="eastAsia"/>
              </w:rPr>
              <w:t>有较多容量剩余，</w:t>
            </w:r>
            <w:r>
              <w:t>可接收本项目钻井期生活垃圾，依托可行。</w:t>
            </w:r>
          </w:p>
          <w:p>
            <w:pPr>
              <w:pStyle w:val="19"/>
              <w:tabs>
                <w:tab w:val="left" w:pos="3329"/>
              </w:tabs>
              <w:rPr>
                <w:rStyle w:val="17"/>
                <w:b w:val="0"/>
              </w:rPr>
            </w:pPr>
            <w:r>
              <w:rPr>
                <w:rFonts w:hint="eastAsia"/>
              </w:rPr>
              <w:t>9</w:t>
            </w:r>
            <w:r>
              <w:t>.</w:t>
            </w:r>
            <w:r>
              <w:rPr>
                <w:rFonts w:hint="eastAsia"/>
              </w:rPr>
              <w:t xml:space="preserve">3 </w:t>
            </w:r>
            <w:r>
              <w:t>乌尔禾区污水处理厂</w:t>
            </w:r>
          </w:p>
          <w:p>
            <w:pPr>
              <w:pStyle w:val="19"/>
              <w:tabs>
                <w:tab w:val="left" w:pos="3329"/>
              </w:tabs>
              <w:ind w:firstLine="480" w:firstLineChars="200"/>
              <w:rPr>
                <w:rStyle w:val="17"/>
                <w:b w:val="0"/>
                <w:sz w:val="24"/>
              </w:rPr>
            </w:pPr>
            <w:r>
              <w:rPr>
                <w:rStyle w:val="17"/>
                <w:rFonts w:hint="eastAsia"/>
                <w:b w:val="0"/>
                <w:sz w:val="24"/>
              </w:rPr>
              <w:t>本项目钻井期生活污水经收集后清运至乌尔禾区污水处理厂处理。</w:t>
            </w:r>
          </w:p>
          <w:p>
            <w:pPr>
              <w:pStyle w:val="19"/>
              <w:tabs>
                <w:tab w:val="left" w:pos="3329"/>
              </w:tabs>
              <w:ind w:firstLine="480" w:firstLineChars="200"/>
              <w:rPr>
                <w:b w:val="0"/>
                <w:bCs/>
              </w:rPr>
            </w:pPr>
            <w:r>
              <w:rPr>
                <w:rStyle w:val="17"/>
                <w:b w:val="0"/>
                <w:sz w:val="24"/>
              </w:rPr>
              <w:t>乌尔禾污水处理厂位于乌尔禾镇东南</w:t>
            </w:r>
            <w:r>
              <w:rPr>
                <w:rStyle w:val="17"/>
                <w:rFonts w:hint="eastAsia"/>
                <w:b w:val="0"/>
                <w:sz w:val="24"/>
              </w:rPr>
              <w:t>10km处，2018年3月24日通过原克拉玛依市乌尔禾区环境保护局审批(文号：克乌环函﹝2018﹞17号)，2019年6月23日完成自主竣工环境保护验收。</w:t>
            </w:r>
            <w:r>
              <w:rPr>
                <w:b w:val="0"/>
                <w:bCs/>
              </w:rPr>
              <w:t>乌尔禾区污水处理厂2014年建成投运，设计污水处理能力近期0.6万立方米/日，远期1.2万立方米/日，处理后水质达《城镇污水处理厂污染物排放标准》（GB18918-2002）及修改单一级B标准</w:t>
            </w:r>
            <w:r>
              <w:t>。</w:t>
            </w:r>
            <w:r>
              <w:rPr>
                <w:b w:val="0"/>
                <w:bCs/>
              </w:rPr>
              <w:t>2018年5月，乌尔禾区投资5399万元，实施了污水处理厂提标改造工程，2018年11月底正式投入运行，设计出水水质达到《城镇污水处理厂污染物排放标准》（GB18918-2002）及修改单一级A标准。2019年，该厂提标改造项目调试运行稳定，并于2019年6月30日通过环保竣工验收。</w:t>
            </w:r>
          </w:p>
          <w:p>
            <w:pPr>
              <w:pStyle w:val="19"/>
              <w:tabs>
                <w:tab w:val="left" w:pos="3329"/>
              </w:tabs>
              <w:ind w:firstLine="480" w:firstLineChars="200"/>
              <w:rPr>
                <w:b w:val="0"/>
                <w:bCs/>
              </w:rPr>
            </w:pPr>
            <w:r>
              <w:rPr>
                <w:b w:val="0"/>
                <w:bCs/>
              </w:rPr>
              <w:t>目前，乌尔禾污水处理厂</w:t>
            </w:r>
            <w:r>
              <w:rPr>
                <w:rFonts w:hint="eastAsia"/>
                <w:b w:val="0"/>
                <w:bCs/>
              </w:rPr>
              <w:t>设计处理规模6</w:t>
            </w:r>
            <w:r>
              <w:rPr>
                <w:b w:val="0"/>
                <w:bCs/>
              </w:rPr>
              <w:t>000m</w:t>
            </w:r>
            <w:r>
              <w:rPr>
                <w:b w:val="0"/>
                <w:bCs/>
                <w:vertAlign w:val="superscript"/>
              </w:rPr>
              <w:t>3</w:t>
            </w:r>
            <w:r>
              <w:rPr>
                <w:b w:val="0"/>
                <w:bCs/>
              </w:rPr>
              <w:t>/d，</w:t>
            </w:r>
            <w:r>
              <w:rPr>
                <w:rFonts w:hint="eastAsia"/>
                <w:b w:val="0"/>
                <w:bCs/>
              </w:rPr>
              <w:t>实际处理量4000m</w:t>
            </w:r>
            <w:r>
              <w:rPr>
                <w:rFonts w:hint="eastAsia"/>
                <w:b w:val="0"/>
                <w:bCs/>
                <w:vertAlign w:val="superscript"/>
              </w:rPr>
              <w:t>3</w:t>
            </w:r>
            <w:r>
              <w:rPr>
                <w:rFonts w:hint="eastAsia"/>
                <w:b w:val="0"/>
                <w:bCs/>
              </w:rPr>
              <w:t>/d，剩余处理能力为</w:t>
            </w:r>
            <w:r>
              <w:rPr>
                <w:b w:val="0"/>
                <w:bCs/>
              </w:rPr>
              <w:t>2000m</w:t>
            </w:r>
            <w:r>
              <w:rPr>
                <w:b w:val="0"/>
                <w:bCs/>
                <w:vertAlign w:val="superscript"/>
              </w:rPr>
              <w:t>3</w:t>
            </w:r>
            <w:r>
              <w:rPr>
                <w:b w:val="0"/>
                <w:bCs/>
              </w:rPr>
              <w:t>/d</w:t>
            </w:r>
            <w:r>
              <w:rPr>
                <w:rFonts w:hint="eastAsia"/>
                <w:b w:val="0"/>
                <w:bCs/>
              </w:rPr>
              <w:t>。</w:t>
            </w:r>
            <w:r>
              <w:rPr>
                <w:b w:val="0"/>
                <w:bCs/>
              </w:rPr>
              <w:t>本项目施工期生活污水产生量</w:t>
            </w:r>
            <w:r>
              <w:rPr>
                <w:rFonts w:hint="eastAsia"/>
                <w:b w:val="0"/>
                <w:bCs/>
              </w:rPr>
              <w:t>201.6</w:t>
            </w:r>
            <w:r>
              <w:rPr>
                <w:b w:val="0"/>
                <w:bCs/>
              </w:rPr>
              <w:t>m</w:t>
            </w:r>
            <w:r>
              <w:rPr>
                <w:b w:val="0"/>
                <w:bCs/>
                <w:vertAlign w:val="superscript"/>
              </w:rPr>
              <w:t>3</w:t>
            </w:r>
            <w:r>
              <w:rPr>
                <w:b w:val="0"/>
                <w:bCs/>
              </w:rPr>
              <w:t>，排入防渗污水收集池，定期拉运至乌尔禾区污水处理厂，</w:t>
            </w:r>
            <w:r>
              <w:rPr>
                <w:rFonts w:hint="eastAsia"/>
                <w:b w:val="0"/>
                <w:bCs/>
              </w:rPr>
              <w:t>污水处理厂的处理余量能够满足本工程</w:t>
            </w:r>
            <w:r>
              <w:rPr>
                <w:b w:val="0"/>
                <w:bCs/>
              </w:rPr>
              <w:t>。</w:t>
            </w:r>
          </w:p>
          <w:p>
            <w:pPr>
              <w:pStyle w:val="19"/>
              <w:tabs>
                <w:tab w:val="left" w:pos="3329"/>
              </w:tabs>
              <w:ind w:firstLine="480" w:firstLineChars="200"/>
              <w:rPr>
                <w:b w:val="0"/>
                <w:bCs/>
              </w:rPr>
            </w:pPr>
            <w:r>
              <w:rPr>
                <w:rFonts w:hint="eastAsia"/>
                <w:b w:val="0"/>
                <w:bCs/>
              </w:rPr>
              <w:t>本项目与依托工程相对位置关系见图2-6。</w:t>
            </w:r>
          </w:p>
          <w:p>
            <w:pPr>
              <w:adjustRightInd/>
              <w:snapToGrid/>
              <w:ind w:firstLine="0" w:firstLineChars="0"/>
              <w:rPr>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25" w:hRule="atLeast"/>
          <w:jc w:val="center"/>
        </w:trPr>
        <w:tc>
          <w:tcPr>
            <w:tcW w:w="456" w:type="dxa"/>
            <w:vAlign w:val="center"/>
          </w:tcPr>
          <w:p>
            <w:pPr>
              <w:ind w:firstLine="0" w:firstLineChars="0"/>
              <w:jc w:val="center"/>
              <w:rPr>
                <w:kern w:val="0"/>
              </w:rPr>
            </w:pPr>
            <w:r>
              <w:rPr>
                <w:kern w:val="0"/>
              </w:rPr>
              <w:t>总平面及现场布置</w:t>
            </w:r>
          </w:p>
        </w:tc>
        <w:tc>
          <w:tcPr>
            <w:tcW w:w="8604" w:type="dxa"/>
            <w:vAlign w:val="center"/>
          </w:tcPr>
          <w:p>
            <w:pPr>
              <w:pStyle w:val="18"/>
            </w:pPr>
            <w:r>
              <w:t>1 钻井井场平面布局</w:t>
            </w:r>
          </w:p>
          <w:p>
            <w:pPr>
              <w:ind w:firstLine="480"/>
            </w:pPr>
            <w:r>
              <w:t>项目的布置本着结构简单、流程合理的原则进行。井场布置有值班房、录井房、配电房、罐区、不落地设备区等。</w:t>
            </w:r>
            <w:r>
              <w:rPr>
                <w:sz w:val="21"/>
              </w:rPr>
              <w:drawing>
                <wp:anchor distT="0" distB="0" distL="114300" distR="114300" simplePos="0" relativeHeight="251660288" behindDoc="0" locked="0" layoutInCell="1" allowOverlap="1">
                  <wp:simplePos x="0" y="0"/>
                  <wp:positionH relativeFrom="column">
                    <wp:posOffset>502920</wp:posOffset>
                  </wp:positionH>
                  <wp:positionV relativeFrom="paragraph">
                    <wp:posOffset>566420</wp:posOffset>
                  </wp:positionV>
                  <wp:extent cx="4276725" cy="2836545"/>
                  <wp:effectExtent l="0" t="0" r="9525" b="1905"/>
                  <wp:wrapNone/>
                  <wp:docPr id="16" name="图片 4" descr="C:\Users\a\Desktop\图片3.png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C:\Users\a\Desktop\图片3.png图片3"/>
                          <pic:cNvPicPr>
                            <a:picLocks noChangeAspect="1"/>
                          </pic:cNvPicPr>
                        </pic:nvPicPr>
                        <pic:blipFill>
                          <a:blip r:embed="rId15"/>
                          <a:stretch>
                            <a:fillRect/>
                          </a:stretch>
                        </pic:blipFill>
                        <pic:spPr>
                          <a:xfrm>
                            <a:off x="0" y="0"/>
                            <a:ext cx="4276725" cy="2836545"/>
                          </a:xfrm>
                          <a:prstGeom prst="rect">
                            <a:avLst/>
                          </a:prstGeom>
                          <a:noFill/>
                          <a:ln>
                            <a:noFill/>
                          </a:ln>
                        </pic:spPr>
                      </pic:pic>
                    </a:graphicData>
                  </a:graphic>
                </wp:anchor>
              </w:drawing>
            </w:r>
            <w:r>
              <w:t>钻井井场布置示意图详见图2-</w:t>
            </w:r>
            <w:r>
              <w:rPr>
                <w:rFonts w:hint="eastAsia"/>
              </w:rPr>
              <w:t>7</w:t>
            </w:r>
            <w:r>
              <w:t>。</w:t>
            </w:r>
          </w:p>
          <w:p>
            <w:pPr>
              <w:pStyle w:val="22"/>
              <w:rPr>
                <w:color w:val="auto"/>
              </w:rPr>
            </w:pPr>
            <w:r>
              <w:rPr>
                <w:color w:val="auto"/>
              </w:rPr>
              <mc:AlternateContent>
                <mc:Choice Requires="wps">
                  <w:drawing>
                    <wp:anchor distT="0" distB="0" distL="114300" distR="114300" simplePos="0" relativeHeight="251664384" behindDoc="0" locked="0" layoutInCell="1" allowOverlap="1">
                      <wp:simplePos x="0" y="0"/>
                      <wp:positionH relativeFrom="column">
                        <wp:posOffset>2671445</wp:posOffset>
                      </wp:positionH>
                      <wp:positionV relativeFrom="paragraph">
                        <wp:posOffset>81280</wp:posOffset>
                      </wp:positionV>
                      <wp:extent cx="105410" cy="225425"/>
                      <wp:effectExtent l="4445" t="4445" r="23495" b="17780"/>
                      <wp:wrapNone/>
                      <wp:docPr id="180" name="矩形 180"/>
                      <wp:cNvGraphicFramePr/>
                      <a:graphic xmlns:a="http://schemas.openxmlformats.org/drawingml/2006/main">
                        <a:graphicData uri="http://schemas.microsoft.com/office/word/2010/wordprocessingShape">
                          <wps:wsp>
                            <wps:cNvSpPr/>
                            <wps:spPr>
                              <a:xfrm>
                                <a:off x="0" y="0"/>
                                <a:ext cx="105410" cy="225425"/>
                              </a:xfrm>
                              <a:prstGeom prst="rect">
                                <a:avLst/>
                              </a:prstGeom>
                              <a:solidFill>
                                <a:srgbClr val="FFFF00">
                                  <a:alpha val="30000"/>
                                </a:srgbClr>
                              </a:solidFill>
                              <a:ln w="9525" cap="flat" cmpd="sng">
                                <a:solidFill>
                                  <a:srgbClr val="808080">
                                    <a:lumMod val="50000"/>
                                    <a:lumOff val="50000"/>
                                  </a:srgbClr>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10.35pt;margin-top:6.4pt;height:17.75pt;width:8.3pt;z-index:251664384;mso-width-relative:page;mso-height-relative:page;" fillcolor="#FFFF00" filled="t" stroked="t" coordsize="21600,21600" o:gfxdata="UEsDBAoAAAAAAIdO4kAAAAAAAAAAAAAAAAAEAAAAZHJzL1BLAwQUAAAACACHTuJA/scSldYAAAAJ&#10;AQAADwAAAGRycy9kb3ducmV2LnhtbE2PwU7DMBBE70j8g7VIXBC1m1S0SuNUiMIHtPQDnHiJo8br&#10;EDtN4etZTnDb0TzNzpS7q+/FBcfYBdKwXCgQSE2wHbUaTu9vjxsQMRmypg+EGr4wwq66vSlNYcNM&#10;B7wcUys4hGJhNLiUhkLK2Dj0Ji7CgMTeRxi9SSzHVtrRzBzue5kp9SS96Yg/ODPgi8PmfJy8hr3z&#10;h2n/4PAUm+c6tZ/+df72Wt/fLdUWRMJr+oPhtz5Xh4o71WEiG0WvYZWpNaNsZDyBgVW+zkHUfGxy&#10;kFUp/y+ofgBQSwMEFAAAAAgAh07iQK+k788mAgAAiQQAAA4AAABkcnMvZTJvRG9jLnhtbK1UzY7T&#10;MBC+I/EOlu80SdmiEjXdA6Vc+Flp4QGmtpNY8p9st2mfBokbD8HjIF6DsZMtu0VIPZBK6Xg8/ma+&#10;b8ZZ3R61Igfhg7SmodWspEQYZrk0XUO/fN6+WFISIhgOyhrR0JMI9Hb9/NlqcLWY294qLjxBEBPq&#10;wTW0j9HVRRFYLzSEmXXC4GZrvYaIS98V3MOA6FoV87J8VQzWc+ctEyGgdzNu0gnRXwNo21YysbFs&#10;r4WJI6oXCiJSCr10ga5ztW0rWPzUtkFEohqKTGN+YxK0d+ldrFdQdx5cL9lUAlxTwgUnDdJg0jPU&#10;BiKQvZd/QWnJvA22jTNmdTESyYogi6q80Oa+BycyF5Q6uLPo4f/Bso+HO08kx0lYoiYGNLb819fv&#10;P398I8mD+gwu1Bh27+78tApoJrLH1uv0jzTIMWt6OmsqjpEwdFbl4qZCZIZb8/niZr5ImMWfw86H&#10;+E5YTZLRUI8ty0rC4X2IY+hDSMoVrJJ8K5XKC9/t3ihPDoDt3eJTluNZ5XoYvS9LfKaUYQzP6Z/g&#10;KEOGhr5eYHGEAQ51i8OEpnYoTDBdBn1yYoIacyzL9MtBaq8/WD66Fw+poUY3zuGFG0X4Z0WJ8gZC&#10;Px7JqRMJqLWMIvUB6l4Af2s4iSeHPTN4WWlioQWnRAm828nKkRGkuiYSC1ImQYt8cyb9U//Hjidr&#10;Z/kJJ2bvvOx67FeVtU07OKFZ2ek2pSvweI324y/I+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10;xxKV1gAAAAkBAAAPAAAAAAAAAAEAIAAAACIAAABkcnMvZG93bnJldi54bWxQSwECFAAUAAAACACH&#10;TuJAr6TvzyYCAACJBAAADgAAAAAAAAABACAAAAAlAQAAZHJzL2Uyb0RvYy54bWxQSwUGAAAAAAYA&#10;BgBZAQAAvQUAAAAA&#10;">
                      <v:fill on="t" opacity="19660f" focussize="0,0"/>
                      <v:stroke color="#C0C0C0" joinstyle="miter"/>
                      <v:imagedata o:title=""/>
                      <o:lock v:ext="edit" aspectratio="f"/>
                    </v:rect>
                  </w:pict>
                </mc:Fallback>
              </mc:AlternateContent>
            </w:r>
          </w:p>
          <w:p>
            <w:pPr>
              <w:pStyle w:val="22"/>
              <w:rPr>
                <w:color w:val="auto"/>
              </w:rPr>
            </w:pPr>
          </w:p>
          <w:p>
            <w:pPr>
              <w:pStyle w:val="22"/>
              <w:rPr>
                <w:color w:val="auto"/>
              </w:rPr>
            </w:pPr>
          </w:p>
          <w:p>
            <w:pPr>
              <w:pStyle w:val="22"/>
              <w:rPr>
                <w:color w:val="auto"/>
              </w:rPr>
            </w:pPr>
            <w:r>
              <w:rPr>
                <w:color w:val="auto"/>
              </w:rPr>
              <mc:AlternateContent>
                <mc:Choice Requires="wpg">
                  <w:drawing>
                    <wp:anchor distT="0" distB="0" distL="114300" distR="114300" simplePos="0" relativeHeight="251665408" behindDoc="0" locked="0" layoutInCell="1" allowOverlap="1">
                      <wp:simplePos x="0" y="0"/>
                      <wp:positionH relativeFrom="column">
                        <wp:posOffset>4536440</wp:posOffset>
                      </wp:positionH>
                      <wp:positionV relativeFrom="paragraph">
                        <wp:posOffset>36195</wp:posOffset>
                      </wp:positionV>
                      <wp:extent cx="449580" cy="724535"/>
                      <wp:effectExtent l="4445" t="0" r="3175" b="0"/>
                      <wp:wrapNone/>
                      <wp:docPr id="19" name="组合 19"/>
                      <wp:cNvGraphicFramePr/>
                      <a:graphic xmlns:a="http://schemas.openxmlformats.org/drawingml/2006/main">
                        <a:graphicData uri="http://schemas.microsoft.com/office/word/2010/wordprocessingGroup">
                          <wpg:wgp>
                            <wpg:cNvGrpSpPr/>
                            <wpg:grpSpPr>
                              <a:xfrm>
                                <a:off x="0" y="0"/>
                                <a:ext cx="449580" cy="724535"/>
                                <a:chOff x="9429" y="364887"/>
                                <a:chExt cx="442" cy="843"/>
                              </a:xfrm>
                            </wpg:grpSpPr>
                            <wps:wsp>
                              <wps:cNvPr id="17" name="矩形 17"/>
                              <wps:cNvSpPr/>
                              <wps:spPr>
                                <a:xfrm>
                                  <a:off x="9429" y="365081"/>
                                  <a:ext cx="391" cy="550"/>
                                </a:xfrm>
                                <a:prstGeom prst="rect">
                                  <a:avLst/>
                                </a:prstGeom>
                                <a:solidFill>
                                  <a:srgbClr val="FFFF00">
                                    <a:alpha val="29999"/>
                                  </a:srgbClr>
                                </a:solidFill>
                                <a:ln w="9525" cap="flat" cmpd="sng">
                                  <a:solidFill>
                                    <a:srgbClr val="808080"/>
                                  </a:solidFill>
                                  <a:prstDash val="solid"/>
                                  <a:miter/>
                                  <a:headEnd type="none" w="med" len="med"/>
                                  <a:tailEnd type="none" w="med" len="med"/>
                                </a:ln>
                              </wps:spPr>
                              <wps:bodyPr upright="1"/>
                            </wps:wsp>
                            <wps:wsp>
                              <wps:cNvPr id="18" name="文本框 18"/>
                              <wps:cNvSpPr txBox="1"/>
                              <wps:spPr>
                                <a:xfrm>
                                  <a:off x="9436" y="364887"/>
                                  <a:ext cx="435" cy="843"/>
                                </a:xfrm>
                                <a:prstGeom prst="rect">
                                  <a:avLst/>
                                </a:prstGeom>
                                <a:noFill/>
                                <a:ln w="6350">
                                  <a:noFill/>
                                </a:ln>
                              </wps:spPr>
                              <wps:txbx>
                                <w:txbxContent>
                                  <w:p>
                                    <w:pPr>
                                      <w:spacing w:line="240" w:lineRule="auto"/>
                                      <w:ind w:firstLine="0" w:firstLineChars="0"/>
                                      <w:rPr>
                                        <w:sz w:val="18"/>
                                        <w:szCs w:val="18"/>
                                      </w:rPr>
                                    </w:pPr>
                                  </w:p>
                                  <w:p>
                                    <w:pPr>
                                      <w:spacing w:line="240" w:lineRule="auto"/>
                                      <w:ind w:firstLine="0" w:firstLineChars="0"/>
                                    </w:pPr>
                                    <w:r>
                                      <w:rPr>
                                        <w:rFonts w:hint="eastAsia"/>
                                        <w:sz w:val="18"/>
                                        <w:szCs w:val="18"/>
                                      </w:rPr>
                                      <w:t>预留放喷池</w:t>
                                    </w:r>
                                  </w:p>
                                </w:txbxContent>
                              </wps:txbx>
                              <wps:bodyPr upright="1"/>
                            </wps:wsp>
                          </wpg:wgp>
                        </a:graphicData>
                      </a:graphic>
                    </wp:anchor>
                  </w:drawing>
                </mc:Choice>
                <mc:Fallback>
                  <w:pict>
                    <v:group id="_x0000_s1026" o:spid="_x0000_s1026" o:spt="203" style="position:absolute;left:0pt;margin-left:357.2pt;margin-top:2.85pt;height:57.05pt;width:35.4pt;z-index:251665408;mso-width-relative:page;mso-height-relative:page;" coordorigin="9429,364887" coordsize="442,843" o:gfxdata="UEsDBAoAAAAAAIdO4kAAAAAAAAAAAAAAAAAEAAAAZHJzL1BLAwQUAAAACACHTuJAtQhMs9oAAAAJ&#10;AQAADwAAAGRycy9kb3ducmV2LnhtbE2PQUvDQBCF74L/YRnBm91sbUwasylS1FMRbAXpbZtMk9Ds&#10;bMhuk/bfO570OLyP977JVxfbiREH3zrSoGYRCKTSVS3VGr52bw8pCB8MVaZzhBqu6GFV3N7kJqvc&#10;RJ84bkMtuIR8ZjQ0IfSZlL5s0Bo/cz0SZ0c3WBP4HGpZDWbictvJeRQ9SWta4oXG9LhusDxtz1bD&#10;+2Sml0f1Om5Ox/V1v4s/vjcKtb6/U9EziICX8AfDrz6rQ8FOB3emyotOQ6IWC0Y1xAkIzpM0noM4&#10;MKiWKcgil/8/KH4AUEsDBBQAAAAIAIdO4kAgVwAI4QIAAO8GAAAOAAAAZHJzL2Uyb0RvYy54bWy9&#10;Vd1u0zAUvkfiHazcs6Rp0qXR2knQbTcIJg0ewE2cH8mxLdtt2nsEXHLF1SQEd0i8AeJxNl6DYzvJ&#10;um4SAyRSKfHP8Tnn+8533KPjTUPRmkhVczbzRgeBhwjLeF6zcua9fnX6JPGQ0pjlmHJGZt6WKO94&#10;/vjRUStSEvKK05xIBE6YSlsx8yqtRer7KqtIg9UBF4TBZsFlgzVMZennErfgvaF+GAQTv+UyF5Jn&#10;RClYXbhNr/MoH+KQF0WdkQXPVg1h2nmVhGINkFRVC+XNbbZFQTL9sigU0YjOPECq7RuCwHhp3v78&#10;CKelxKKqsy4F/JAU9jA1uGYQdHC1wBqjlazvuGrqTHLFC32Q8cZ3QCwjgGIU7HFzJvlKWCxl2pZi&#10;IB0Ktcf6X7vNXqzPJapzUMLUQww3UPGf399cfXiPYAHYaUWZgtGZFBfiXHYLpZsZwJtCNuYLUNDG&#10;8rodeCUbjTJYjKJpnADjGWwdhlE8jh3vWQXFMaemUQjRYXc8iZLksN89Gc6H7nASjc2e34f1TXZD&#10;Mq0ARaobmtS/0XRRYUEs+8ow0NN0OND06evVjy9oZNM1scFo4EilCui6h6AdqHGQjBzUnqjxdOSA&#10;xrGV5gAUp0IqfUZ4g8xg5klQthUcXj9X2nHSm5ioitM6P60ptRNZLp9RidYYuuAUniBwZ6mosFsN&#10;p/B03Cpnbnm+5Ycy1EKx4jCGLDH0fgE9B8NGgH4UK63TWyc6Vy5GEphfH2Q3QZP5AqvK2VkPjpim&#10;1kQCOpxWBOcnLEd6K0CiDK4mzyTTkNxDlMBNZkbWUuOaPsQSyKUMQJrSuWKZ0ZLnWyj1Ssi6rIBo&#10;WyFrA9Iy7fA/NAZXsGvF64/vri+/XX9+i0aJQbcjM6Q3Tzn0jk3wBkPfGkNHTqPx5E5v9YKLoBVt&#10;W+531h8LjnGjNlsAJ5PJGDRsKjfs3E+43iw3HbLfcG+7He5BK8zuzjYX7e7c1vPmf2r+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LUITLPaAAAACQEAAA8AAAAAAAAAAQAgAAAAIgAAAGRycy9kb3du&#10;cmV2LnhtbFBLAQIUABQAAAAIAIdO4kAgVwAI4QIAAO8GAAAOAAAAAAAAAAEAIAAAACkBAABkcnMv&#10;ZTJvRG9jLnhtbFBLBQYAAAAABgAGAFkBAAB8BgAAAAA=&#10;">
                      <o:lock v:ext="edit" aspectratio="f"/>
                      <v:rect id="_x0000_s1026" o:spid="_x0000_s1026" o:spt="1" style="position:absolute;left:9429;top:365081;height:550;width:391;" fillcolor="#FFFF00" filled="t" stroked="t" coordsize="21600,21600" o:gfxdata="UEsDBAoAAAAAAIdO4kAAAAAAAAAAAAAAAAAEAAAAZHJzL1BLAwQUAAAACACHTuJAvGMYGr8AAADb&#10;AAAADwAAAGRycy9kb3ducmV2LnhtbEWPQWvCQBCF7wX/wzJCb3U3odQSXYOIhVIPUiuotzE7JsHs&#10;bMhuTfrvu4WCtxnem/e9meeDbcSNOl871pBMFAjiwpmaSw37r7enVxA+IBtsHJOGH/KQL0YPc8yM&#10;6/mTbrtQihjCPkMNVQhtJqUvKrLoJ64ljtrFdRZDXLtSmg77GG4bmSr1Ii3WHAkVtrSqqLjuvm3k&#10;fqhNc5wehnW6PPXp5nm7VeeL1o/jRM1ABBrC3fx//W5i/Sn8/RIHkI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xjGBq/&#10;AAAA2wAAAA8AAAAAAAAAAQAgAAAAIgAAAGRycy9kb3ducmV2LnhtbFBLAQIUABQAAAAIAIdO4kAz&#10;LwWeOwAAADkAAAAQAAAAAAAAAAEAIAAAAA4BAABkcnMvc2hhcGV4bWwueG1sUEsFBgAAAAAGAAYA&#10;WwEAALgDAAAAAA==&#10;">
                        <v:fill on="t" opacity="19660f" focussize="0,0"/>
                        <v:stroke color="#808080" joinstyle="miter"/>
                        <v:imagedata o:title=""/>
                        <o:lock v:ext="edit" aspectratio="f"/>
                      </v:rect>
                      <v:shape id="_x0000_s1026" o:spid="_x0000_s1026" o:spt="202" type="#_x0000_t202" style="position:absolute;left:9436;top:364887;height:843;width:435;"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line="240" w:lineRule="auto"/>
                                <w:ind w:firstLine="0" w:firstLineChars="0"/>
                                <w:rPr>
                                  <w:sz w:val="18"/>
                                  <w:szCs w:val="18"/>
                                </w:rPr>
                              </w:pPr>
                            </w:p>
                            <w:p>
                              <w:pPr>
                                <w:spacing w:line="240" w:lineRule="auto"/>
                                <w:ind w:firstLine="0" w:firstLineChars="0"/>
                              </w:pPr>
                              <w:r>
                                <w:rPr>
                                  <w:rFonts w:hint="eastAsia"/>
                                  <w:sz w:val="18"/>
                                  <w:szCs w:val="18"/>
                                </w:rPr>
                                <w:t>预留放喷池</w:t>
                              </w:r>
                            </w:p>
                          </w:txbxContent>
                        </v:textbox>
                      </v:shape>
                    </v:group>
                  </w:pict>
                </mc:Fallback>
              </mc:AlternateContent>
            </w:r>
          </w:p>
          <w:p>
            <w:pPr>
              <w:pStyle w:val="22"/>
              <w:rPr>
                <w:color w:val="auto"/>
              </w:rPr>
            </w:pPr>
          </w:p>
          <w:p>
            <w:pPr>
              <w:pStyle w:val="22"/>
              <w:rPr>
                <w:color w:val="auto"/>
              </w:rPr>
            </w:pPr>
          </w:p>
          <w:p>
            <w:pPr>
              <w:pStyle w:val="22"/>
              <w:rPr>
                <w:color w:val="auto"/>
              </w:rPr>
            </w:pPr>
          </w:p>
          <w:p>
            <w:pPr>
              <w:pStyle w:val="22"/>
              <w:rPr>
                <w:color w:val="auto"/>
              </w:rPr>
            </w:pPr>
            <w:r>
              <w:rPr>
                <w:color w:val="auto"/>
              </w:rPr>
              <mc:AlternateContent>
                <mc:Choice Requires="wps">
                  <w:drawing>
                    <wp:anchor distT="0" distB="0" distL="114300" distR="114300" simplePos="0" relativeHeight="251661312" behindDoc="0" locked="0" layoutInCell="1" allowOverlap="1">
                      <wp:simplePos x="0" y="0"/>
                      <wp:positionH relativeFrom="column">
                        <wp:posOffset>3505835</wp:posOffset>
                      </wp:positionH>
                      <wp:positionV relativeFrom="paragraph">
                        <wp:posOffset>172720</wp:posOffset>
                      </wp:positionV>
                      <wp:extent cx="139700" cy="251460"/>
                      <wp:effectExtent l="5080" t="5080" r="7620" b="10160"/>
                      <wp:wrapNone/>
                      <wp:docPr id="81" name="矩形 81"/>
                      <wp:cNvGraphicFramePr/>
                      <a:graphic xmlns:a="http://schemas.openxmlformats.org/drawingml/2006/main">
                        <a:graphicData uri="http://schemas.microsoft.com/office/word/2010/wordprocessingShape">
                          <wps:wsp>
                            <wps:cNvSpPr/>
                            <wps:spPr>
                              <a:xfrm>
                                <a:off x="0" y="0"/>
                                <a:ext cx="139700" cy="251460"/>
                              </a:xfrm>
                              <a:prstGeom prst="rect">
                                <a:avLst/>
                              </a:prstGeom>
                              <a:solidFill>
                                <a:srgbClr val="FFFF00">
                                  <a:alpha val="30000"/>
                                </a:srgbClr>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76.05pt;margin-top:13.6pt;height:19.8pt;width:11pt;z-index:251661312;mso-width-relative:page;mso-height-relative:page;" fillcolor="#FFFF00" filled="t" stroked="t" coordsize="21600,21600" o:gfxdata="UEsDBAoAAAAAAIdO4kAAAAAAAAAAAAAAAAAEAAAAZHJzL1BLAwQUAAAACACHTuJAg7hAnNoAAAAJ&#10;AQAADwAAAGRycy9kb3ducmV2LnhtbE2PUUvDMBDH3wW/QzjBF3Fpi+1GbTpEUBCRuTnGHrPmbIvJ&#10;pSRpO7+98Ukf7+7H/37/an02mk3ofG9JQLpIgCE1VvXUCth/PN2ugPkgSUltCQV8o4d1fXlRyVLZ&#10;mbY47ULLYgj5UgroQhhKzn3ToZF+YQekePu0zsgQR9dy5eQcw43mWZIU3Mie4odODvjYYfO1G42A&#10;cTP10zMedbs9vL26l/Hh5v04C3F9lSb3wAKewx8Mv/pRHerodLIjKc+0gDzP0ogKyJYZsAjky7u4&#10;OAkoihXwuuL/G9Q/UEsDBBQAAAAIAIdO4kACkbK1EQIAAE4EAAAOAAAAZHJzL2Uyb0RvYy54bWyt&#10;VM2O0zAQviPxDpbvNGmXLrtR0z1QygXBSgsPMHUmiSX/yXab9mmQuPEQPA7iNRg7pVstWqmHzcEZ&#10;jyffzPfNOIu7vVZshz5Ia2o+nZScoRG2kaar+bev6zc3nIUIpgFlDdb8gIHfLV+/WgyuwpntrWrQ&#10;MwIxoRpczfsYXVUUQfSoIUysQ0OHrfUaIm19VzQeBkLXqpiV5XUxWN84bwWGQN7VeMiPiP4SQNu2&#10;UuDKiq1GE0dUjwoiUQq9dIEvc7VtiyJ+aduAkamaE9OYV0pC9iatxXIBVefB9VIcS4BLSnjCSYM0&#10;lPQEtYIIbOvlf1BaCm+DbeNEWF2MRLIixGJaPtHmoQeHmQtJHdxJ9PBysOLz7t4z2dT8ZsqZAU0d&#10;//P95+9fPxg5SJ3BhYqCHty9P+4CmYnqvvU6vYkE22dFDydFcR+ZIOf06vZdSVoLOprNp2+vs+LF&#10;48fOh/gRrWbJqLmnhmUdYfcpREpIof9CUq5glWzWUqm88d3mvfJsB9TcNT2UKflBuR5G71VJT6JB&#10;OGEMH+1zHGXYUPPb+WxOhQKNdEujRKZ2JEswXQZ9PnNK8ZjkHDhVvoLQj7VkhHHgtIyY5ISqR2g+&#10;mIbFgyPlDd04norR2HCmkC5osnJkBKkuiSSmyiRozON/lDG1cWxcsja2OVDbt87LrifZc6eLdEJj&#10;lgU6Xok0x+d7ss9/A8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7hAnNoAAAAJAQAADwAAAAAA&#10;AAABACAAAAAiAAAAZHJzL2Rvd25yZXYueG1sUEsBAhQAFAAAAAgAh07iQAKRsrURAgAATgQAAA4A&#10;AAAAAAAAAQAgAAAAKQEAAGRycy9lMm9Eb2MueG1sUEsFBgAAAAAGAAYAWQEAAKwFAAAAAA==&#10;">
                      <v:fill on="t" opacity="19660f" focussize="0,0"/>
                      <v:stroke color="#000000" joinstyle="miter"/>
                      <v:imagedata o:title=""/>
                      <o:lock v:ext="edit" aspectratio="f"/>
                    </v:rect>
                  </w:pict>
                </mc:Fallback>
              </mc:AlternateContent>
            </w: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2"/>
              <w:rPr>
                <w:color w:val="auto"/>
              </w:rPr>
            </w:pPr>
          </w:p>
          <w:p>
            <w:pPr>
              <w:pStyle w:val="2"/>
              <w:spacing w:line="360" w:lineRule="auto"/>
            </w:pPr>
          </w:p>
          <w:p>
            <w:pPr>
              <w:pStyle w:val="2"/>
              <w:spacing w:line="360" w:lineRule="auto"/>
            </w:pPr>
          </w:p>
          <w:p>
            <w:pPr>
              <w:pStyle w:val="2"/>
              <w:spacing w:line="360" w:lineRule="auto"/>
            </w:pPr>
            <w:r>
              <w:t>图2-</w:t>
            </w:r>
            <w:r>
              <w:rPr>
                <w:rFonts w:hint="eastAsia"/>
              </w:rPr>
              <w:t>7</w:t>
            </w:r>
            <w:r>
              <w:t xml:space="preserve">  钻井井场平面布置示意图</w:t>
            </w:r>
          </w:p>
          <w:p>
            <w:pPr>
              <w:pStyle w:val="18"/>
              <w:tabs>
                <w:tab w:val="left" w:pos="6090"/>
              </w:tabs>
            </w:pPr>
            <w:r>
              <w:t>2 试油井场平面布局</w:t>
            </w:r>
            <w:r>
              <w:rPr>
                <w:rFonts w:hint="eastAsia"/>
              </w:rPr>
              <w:tab/>
            </w:r>
          </w:p>
          <w:p>
            <w:pPr>
              <w:ind w:firstLine="480"/>
            </w:pPr>
            <w:r>
              <w:t>试油井场布置有值班房、发电房、罐区、放喷管线等，试油井场平面布置见图2-</w:t>
            </w:r>
            <w:r>
              <w:rPr>
                <w:rFonts w:hint="eastAsia"/>
              </w:rPr>
              <w:t>8</w:t>
            </w:r>
            <w:r>
              <w:t>。</w:t>
            </w:r>
          </w:p>
          <w:p>
            <w:pPr>
              <w:pStyle w:val="23"/>
              <w:jc w:val="center"/>
            </w:pPr>
            <w:r>
              <w:rPr>
                <w:sz w:val="21"/>
              </w:rPr>
              <mc:AlternateContent>
                <mc:Choice Requires="wps">
                  <w:drawing>
                    <wp:anchor distT="0" distB="0" distL="114300" distR="114300" simplePos="0" relativeHeight="251666432" behindDoc="0" locked="0" layoutInCell="1" allowOverlap="1">
                      <wp:simplePos x="0" y="0"/>
                      <wp:positionH relativeFrom="column">
                        <wp:posOffset>4555490</wp:posOffset>
                      </wp:positionH>
                      <wp:positionV relativeFrom="paragraph">
                        <wp:posOffset>643255</wp:posOffset>
                      </wp:positionV>
                      <wp:extent cx="410210" cy="654050"/>
                      <wp:effectExtent l="4445" t="4445" r="23495" b="8255"/>
                      <wp:wrapNone/>
                      <wp:docPr id="14" name="文本框 14"/>
                      <wp:cNvGraphicFramePr/>
                      <a:graphic xmlns:a="http://schemas.openxmlformats.org/drawingml/2006/main">
                        <a:graphicData uri="http://schemas.microsoft.com/office/word/2010/wordprocessingShape">
                          <wps:wsp>
                            <wps:cNvSpPr txBox="1"/>
                            <wps:spPr>
                              <a:xfrm>
                                <a:off x="0" y="0"/>
                                <a:ext cx="410210" cy="654050"/>
                              </a:xfrm>
                              <a:prstGeom prst="rect">
                                <a:avLst/>
                              </a:prstGeom>
                              <a:solidFill>
                                <a:srgbClr val="FFFFB2"/>
                              </a:solidFill>
                              <a:ln w="9525" cap="flat" cmpd="sng">
                                <a:solidFill>
                                  <a:srgbClr val="000000"/>
                                </a:solidFill>
                                <a:prstDash val="solid"/>
                                <a:miter/>
                                <a:headEnd type="none" w="med" len="med"/>
                                <a:tailEnd type="none" w="med" len="med"/>
                              </a:ln>
                            </wps:spPr>
                            <wps:txbx>
                              <w:txbxContent>
                                <w:p>
                                  <w:pPr>
                                    <w:ind w:firstLine="0" w:firstLineChars="0"/>
                                    <w:jc w:val="center"/>
                                  </w:pPr>
                                  <w:r>
                                    <w:rPr>
                                      <w:rFonts w:hint="eastAsia"/>
                                      <w:sz w:val="16"/>
                                      <w:szCs w:val="16"/>
                                    </w:rPr>
                                    <w:t>预留放喷池</w:t>
                                  </w:r>
                                </w:p>
                              </w:txbxContent>
                            </wps:txbx>
                            <wps:bodyPr upright="1"/>
                          </wps:wsp>
                        </a:graphicData>
                      </a:graphic>
                    </wp:anchor>
                  </w:drawing>
                </mc:Choice>
                <mc:Fallback>
                  <w:pict>
                    <v:shape id="_x0000_s1026" o:spid="_x0000_s1026" o:spt="202" type="#_x0000_t202" style="position:absolute;left:0pt;margin-left:358.7pt;margin-top:50.65pt;height:51.5pt;width:32.3pt;z-index:251666432;mso-width-relative:page;mso-height-relative:page;" fillcolor="#FFFFB2" filled="t" stroked="t" coordsize="21600,21600" o:gfxdata="UEsDBAoAAAAAAIdO4kAAAAAAAAAAAAAAAAAEAAAAZHJzL1BLAwQUAAAACACHTuJA38hvWNkAAAAL&#10;AQAADwAAAGRycy9kb3ducmV2LnhtbE2Py07DMBBF90j8gzVI7KidtCJViFMBgg1CqBSEWLrxkET1&#10;I7Kd1vw9wwqWo3t059xmk61hRwxx9E5CsRDA0HVej66X8P72eLUGFpNyWhnvUMI3Rti052eNqrU/&#10;uVc87lLPqMTFWkkYUppqzmM3oFVx4Sd0lH35YFWiM/RcB3Wicmt4KcQ1t2p09GFQE94P2B12s5Xw&#10;csBy+/FsHnTmT2O4m/Ptp85SXl4U4gZYwpz+YPjVJ3VoyWnvZ6cjMxKqoloRSoEolsCIqNYlrdtL&#10;KMVqCbxt+P8N7Q9QSwMEFAAAAAgAh07iQEkoBvoOAgAANwQAAA4AAABkcnMvZTJvRG9jLnhtbK1T&#10;S44TMRDdI3EHy3vSnSgZQSudkYYQNgiQBg7guN3dlvyT7aQ7F4AbsGLDnnPNOXh2MpkPLLKgF+5y&#10;1fNz1avy8nrUiuyFD9Kamk4nJSXCcNtI09X065fNq9eUhMhMw5Q1oqYHEej16uWL5eAqMbO9VY3w&#10;BCQmVIOraR+jq4oi8F5oFibWCYNga71mEVvfFY1nA9i1KmZleVUM1jfOWy5CgHd9DNITo7+E0Lat&#10;5GJt+U4LE4+sXigWUVLopQt0lbNtW8Hjp7YNIhJVU1Qa84pLYG/TWqyWrOo8c73kpxTYJSk8q0kz&#10;aXDpmWrNIiM7L/+i0pJ7G2wbJ9zq4lhIVgRVTMtn2tz2zIlcC6QO7ix6+H+0/OP+syeywSTMKTFM&#10;o+N3P77f/fx99+sbgQ8CDS5UwN06ION4Y0eA7/0BzlT32Hqd/qiIIA55D2d5xRgJh3M+LWdTRDhC&#10;V4t5ucjyFw+HnQ/xvbCaJKOmHt3LorL9hxCRCKD3kHRXsEo2G6lU3vhu+1Z5smfo9AbfzSzliCNP&#10;YMqQoaZvFrMF8mAY3xZjA1M7SBBMl+97ciI8Ji7z9y/ilNiahf6YQGZIMFZpGYXPVi9Y8840JB4c&#10;VDZ4XTQlo0VDiRJ4jMnKyMikugSJ6pRBkalDx04kK47bETTJ3NrmgK7tnJddD0lz3zIc85TVOc1+&#10;GtjH+0z68N5X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fyG9Y2QAAAAsBAAAPAAAAAAAAAAEA&#10;IAAAACIAAABkcnMvZG93bnJldi54bWxQSwECFAAUAAAACACHTuJASSgG+g4CAAA3BAAADgAAAAAA&#10;AAABACAAAAAoAQAAZHJzL2Uyb0RvYy54bWxQSwUGAAAAAAYABgBZAQAAqAUAAAAA&#10;">
                      <v:fill on="t" focussize="0,0"/>
                      <v:stroke color="#000000" joinstyle="miter"/>
                      <v:imagedata o:title=""/>
                      <o:lock v:ext="edit" aspectratio="f"/>
                      <v:textbox>
                        <w:txbxContent>
                          <w:p>
                            <w:pPr>
                              <w:ind w:firstLine="0" w:firstLineChars="0"/>
                              <w:jc w:val="center"/>
                            </w:pPr>
                            <w:r>
                              <w:rPr>
                                <w:rFonts w:hint="eastAsia"/>
                                <w:sz w:val="16"/>
                                <w:szCs w:val="16"/>
                              </w:rPr>
                              <w:t>预留放喷池</w:t>
                            </w:r>
                          </w:p>
                        </w:txbxContent>
                      </v:textbox>
                    </v:shape>
                  </w:pict>
                </mc:Fallback>
              </mc:AlternateContent>
            </w:r>
            <w:r>
              <w:drawing>
                <wp:inline distT="0" distB="0" distL="114300" distR="114300">
                  <wp:extent cx="4178935" cy="2689860"/>
                  <wp:effectExtent l="0" t="0" r="12065" b="15240"/>
                  <wp:docPr id="20" name="图片 2" descr="屏幕截图 2022-06-16 193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屏幕截图 2022-06-16 193629"/>
                          <pic:cNvPicPr>
                            <a:picLocks noChangeAspect="1"/>
                          </pic:cNvPicPr>
                        </pic:nvPicPr>
                        <pic:blipFill>
                          <a:blip r:embed="rId16"/>
                          <a:stretch>
                            <a:fillRect/>
                          </a:stretch>
                        </pic:blipFill>
                        <pic:spPr>
                          <a:xfrm>
                            <a:off x="0" y="0"/>
                            <a:ext cx="4178935" cy="2689860"/>
                          </a:xfrm>
                          <a:prstGeom prst="rect">
                            <a:avLst/>
                          </a:prstGeom>
                          <a:noFill/>
                          <a:ln>
                            <a:noFill/>
                          </a:ln>
                        </pic:spPr>
                      </pic:pic>
                    </a:graphicData>
                  </a:graphic>
                </wp:inline>
              </w:drawing>
            </w:r>
          </w:p>
          <w:p>
            <w:pPr>
              <w:pStyle w:val="23"/>
              <w:jc w:val="center"/>
              <w:rPr>
                <w:rFonts w:eastAsia="黑体"/>
                <w:sz w:val="28"/>
                <w:szCs w:val="28"/>
              </w:rPr>
            </w:pPr>
            <w:r>
              <w:rPr>
                <w:kern w:val="0"/>
                <w:sz w:val="21"/>
                <w:szCs w:val="20"/>
              </w:rPr>
              <w:t>图2-</w:t>
            </w:r>
            <w:r>
              <w:rPr>
                <w:rFonts w:hint="eastAsia"/>
                <w:kern w:val="0"/>
                <w:sz w:val="21"/>
                <w:szCs w:val="20"/>
              </w:rPr>
              <w:t>8</w:t>
            </w:r>
            <w:r>
              <w:rPr>
                <w:kern w:val="0"/>
                <w:sz w:val="21"/>
                <w:szCs w:val="20"/>
              </w:rPr>
              <w:t xml:space="preserve">  试油井场平面布置示意图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63" w:hRule="atLeast"/>
          <w:jc w:val="center"/>
        </w:trPr>
        <w:tc>
          <w:tcPr>
            <w:tcW w:w="456" w:type="dxa"/>
            <w:tcBorders>
              <w:left w:val="single" w:color="auto" w:sz="4" w:space="0"/>
              <w:bottom w:val="single" w:color="auto" w:sz="2" w:space="0"/>
            </w:tcBorders>
            <w:vAlign w:val="center"/>
          </w:tcPr>
          <w:p>
            <w:pPr>
              <w:ind w:firstLine="0" w:firstLineChars="0"/>
              <w:jc w:val="center"/>
              <w:rPr>
                <w:kern w:val="0"/>
              </w:rPr>
            </w:pPr>
            <w:r>
              <w:rPr>
                <w:kern w:val="0"/>
              </w:rPr>
              <w:t>施工方案</w:t>
            </w:r>
          </w:p>
        </w:tc>
        <w:tc>
          <w:tcPr>
            <w:tcW w:w="8604" w:type="dxa"/>
            <w:tcBorders>
              <w:bottom w:val="single" w:color="auto" w:sz="2" w:space="0"/>
              <w:right w:val="single" w:color="auto" w:sz="4" w:space="0"/>
            </w:tcBorders>
            <w:vAlign w:val="center"/>
          </w:tcPr>
          <w:p>
            <w:pPr>
              <w:pStyle w:val="18"/>
            </w:pPr>
            <w:bookmarkStart w:id="18" w:name="_Toc5381"/>
            <w:r>
              <w:t>工艺流程简述（图示）：</w:t>
            </w:r>
            <w:bookmarkEnd w:id="18"/>
          </w:p>
          <w:p>
            <w:pPr>
              <w:ind w:firstLine="480"/>
            </w:pPr>
            <w:r>
              <w:t>本项目为评价井钻井及试油工程。</w:t>
            </w:r>
          </w:p>
          <w:p>
            <w:pPr>
              <w:pStyle w:val="18"/>
            </w:pPr>
            <w:r>
              <w:t>1 钻井工艺流程</w:t>
            </w:r>
          </w:p>
          <w:p>
            <w:pPr>
              <w:ind w:firstLine="480"/>
            </w:pPr>
            <w:r>
              <w:rPr>
                <w:rFonts w:hint="eastAsia"/>
              </w:rPr>
              <w:t>项目</w:t>
            </w:r>
            <w:r>
              <w:t>工艺流程及产污位置见图2-</w:t>
            </w:r>
            <w:r>
              <w:rPr>
                <w:rFonts w:hint="eastAsia"/>
              </w:rPr>
              <w:t>9</w:t>
            </w:r>
            <w:r>
              <w:t>。</w:t>
            </w:r>
          </w:p>
          <w:p>
            <w:pPr>
              <w:ind w:firstLine="420"/>
            </w:pPr>
            <w:r>
              <w:rPr>
                <w:sz w:val="21"/>
              </w:rPr>
              <mc:AlternateContent>
                <mc:Choice Requires="wpg">
                  <w:drawing>
                    <wp:anchor distT="0" distB="0" distL="114300" distR="114300" simplePos="0" relativeHeight="251667456" behindDoc="0" locked="0" layoutInCell="1" allowOverlap="1">
                      <wp:simplePos x="0" y="0"/>
                      <wp:positionH relativeFrom="column">
                        <wp:posOffset>-46355</wp:posOffset>
                      </wp:positionH>
                      <wp:positionV relativeFrom="paragraph">
                        <wp:posOffset>33655</wp:posOffset>
                      </wp:positionV>
                      <wp:extent cx="4561205" cy="1577975"/>
                      <wp:effectExtent l="0" t="0" r="0" b="0"/>
                      <wp:wrapNone/>
                      <wp:docPr id="51" name="组合 51"/>
                      <wp:cNvGraphicFramePr/>
                      <a:graphic xmlns:a="http://schemas.openxmlformats.org/drawingml/2006/main">
                        <a:graphicData uri="http://schemas.microsoft.com/office/word/2010/wordprocessingGroup">
                          <wpg:wgp>
                            <wpg:cNvGrpSpPr/>
                            <wpg:grpSpPr>
                              <a:xfrm>
                                <a:off x="0" y="0"/>
                                <a:ext cx="4561205" cy="1577975"/>
                                <a:chOff x="2793" y="397599"/>
                                <a:chExt cx="7183" cy="2485"/>
                              </a:xfrm>
                            </wpg:grpSpPr>
                            <wps:wsp>
                              <wps:cNvPr id="21" name="直接连接符 21"/>
                              <wps:cNvCnPr/>
                              <wps:spPr>
                                <a:xfrm>
                                  <a:off x="4721" y="398386"/>
                                  <a:ext cx="1398" cy="1"/>
                                </a:xfrm>
                                <a:prstGeom prst="line">
                                  <a:avLst/>
                                </a:prstGeom>
                                <a:ln w="12700" cap="flat" cmpd="sng">
                                  <a:solidFill>
                                    <a:srgbClr val="000000"/>
                                  </a:solidFill>
                                  <a:prstDash val="dash"/>
                                  <a:headEnd type="triangle" w="med" len="med"/>
                                  <a:tailEnd type="none" w="med" len="med"/>
                                </a:ln>
                              </wps:spPr>
                              <wps:bodyPr/>
                            </wps:wsp>
                            <wps:wsp>
                              <wps:cNvPr id="22" name="直接连接符 22"/>
                              <wps:cNvCnPr/>
                              <wps:spPr>
                                <a:xfrm>
                                  <a:off x="4726" y="397791"/>
                                  <a:ext cx="1" cy="1166"/>
                                </a:xfrm>
                                <a:prstGeom prst="line">
                                  <a:avLst/>
                                </a:prstGeom>
                                <a:ln w="12700" cap="flat" cmpd="sng">
                                  <a:solidFill>
                                    <a:srgbClr val="000000"/>
                                  </a:solidFill>
                                  <a:prstDash val="dash"/>
                                  <a:headEnd type="none" w="med" len="med"/>
                                  <a:tailEnd type="none" w="med" len="med"/>
                                </a:ln>
                              </wps:spPr>
                              <wps:bodyPr/>
                            </wps:wsp>
                            <wps:wsp>
                              <wps:cNvPr id="23" name="直接连接符 23"/>
                              <wps:cNvCnPr/>
                              <wps:spPr>
                                <a:xfrm>
                                  <a:off x="4366" y="397808"/>
                                  <a:ext cx="373" cy="0"/>
                                </a:xfrm>
                                <a:prstGeom prst="line">
                                  <a:avLst/>
                                </a:prstGeom>
                                <a:ln w="12700" cap="flat" cmpd="sng">
                                  <a:solidFill>
                                    <a:srgbClr val="000000"/>
                                  </a:solidFill>
                                  <a:prstDash val="dash"/>
                                  <a:headEnd type="triangle" w="med" len="med"/>
                                  <a:tailEnd type="none" w="med" len="med"/>
                                </a:ln>
                              </wps:spPr>
                              <wps:bodyPr/>
                            </wps:wsp>
                            <wps:wsp>
                              <wps:cNvPr id="24" name="直接连接符 24"/>
                              <wps:cNvCnPr/>
                              <wps:spPr>
                                <a:xfrm>
                                  <a:off x="4366" y="398221"/>
                                  <a:ext cx="373" cy="0"/>
                                </a:xfrm>
                                <a:prstGeom prst="line">
                                  <a:avLst/>
                                </a:prstGeom>
                                <a:ln w="12700" cap="flat" cmpd="sng">
                                  <a:solidFill>
                                    <a:srgbClr val="000000"/>
                                  </a:solidFill>
                                  <a:prstDash val="dash"/>
                                  <a:headEnd type="triangle" w="med" len="med"/>
                                  <a:tailEnd type="none" w="med" len="med"/>
                                </a:ln>
                              </wps:spPr>
                              <wps:bodyPr/>
                            </wps:wsp>
                            <wps:wsp>
                              <wps:cNvPr id="25" name="直接连接符 25"/>
                              <wps:cNvCnPr/>
                              <wps:spPr>
                                <a:xfrm>
                                  <a:off x="4366" y="398576"/>
                                  <a:ext cx="373" cy="0"/>
                                </a:xfrm>
                                <a:prstGeom prst="line">
                                  <a:avLst/>
                                </a:prstGeom>
                                <a:ln w="12700" cap="flat" cmpd="sng">
                                  <a:solidFill>
                                    <a:srgbClr val="000000"/>
                                  </a:solidFill>
                                  <a:prstDash val="dash"/>
                                  <a:headEnd type="triangle" w="med" len="med"/>
                                  <a:tailEnd type="none" w="med" len="med"/>
                                </a:ln>
                              </wps:spPr>
                              <wps:bodyPr/>
                            </wps:wsp>
                            <wps:wsp>
                              <wps:cNvPr id="26" name="直接连接符 26"/>
                              <wps:cNvCnPr/>
                              <wps:spPr>
                                <a:xfrm>
                                  <a:off x="4358" y="398960"/>
                                  <a:ext cx="373" cy="0"/>
                                </a:xfrm>
                                <a:prstGeom prst="line">
                                  <a:avLst/>
                                </a:prstGeom>
                                <a:ln w="12700" cap="flat" cmpd="sng">
                                  <a:solidFill>
                                    <a:srgbClr val="000000"/>
                                  </a:solidFill>
                                  <a:prstDash val="dash"/>
                                  <a:headEnd type="triangle" w="med" len="med"/>
                                  <a:tailEnd type="none" w="med" len="med"/>
                                </a:ln>
                              </wps:spPr>
                              <wps:bodyPr/>
                            </wps:wsp>
                            <wps:wsp>
                              <wps:cNvPr id="27" name="文本框 27"/>
                              <wps:cNvSpPr txBox="1"/>
                              <wps:spPr>
                                <a:xfrm>
                                  <a:off x="2830" y="398747"/>
                                  <a:ext cx="1561" cy="435"/>
                                </a:xfrm>
                                <a:prstGeom prst="rect">
                                  <a:avLst/>
                                </a:prstGeom>
                                <a:noFill/>
                                <a:ln w="12700">
                                  <a:noFill/>
                                </a:ln>
                              </wps:spPr>
                              <wps:txbx>
                                <w:txbxContent>
                                  <w:p>
                                    <w:pPr>
                                      <w:pStyle w:val="20"/>
                                      <w:rPr>
                                        <w:szCs w:val="21"/>
                                      </w:rPr>
                                    </w:pPr>
                                    <w:r>
                                      <w:rPr>
                                        <w:rFonts w:hint="eastAsia"/>
                                        <w:szCs w:val="21"/>
                                      </w:rPr>
                                      <w:t>影响野生动物</w:t>
                                    </w:r>
                                  </w:p>
                                </w:txbxContent>
                              </wps:txbx>
                              <wps:bodyPr upright="1"/>
                            </wps:wsp>
                            <wps:wsp>
                              <wps:cNvPr id="28" name="文本框 28"/>
                              <wps:cNvSpPr txBox="1"/>
                              <wps:spPr>
                                <a:xfrm>
                                  <a:off x="2793" y="398362"/>
                                  <a:ext cx="1599" cy="477"/>
                                </a:xfrm>
                                <a:prstGeom prst="rect">
                                  <a:avLst/>
                                </a:prstGeom>
                                <a:noFill/>
                                <a:ln w="12700">
                                  <a:noFill/>
                                </a:ln>
                              </wps:spPr>
                              <wps:txbx>
                                <w:txbxContent>
                                  <w:p>
                                    <w:pPr>
                                      <w:pStyle w:val="20"/>
                                      <w:rPr>
                                        <w:szCs w:val="21"/>
                                      </w:rPr>
                                    </w:pPr>
                                    <w:r>
                                      <w:rPr>
                                        <w:rFonts w:hint="eastAsia"/>
                                        <w:szCs w:val="21"/>
                                      </w:rPr>
                                      <w:t>破坏地表植被</w:t>
                                    </w:r>
                                  </w:p>
                                </w:txbxContent>
                              </wps:txbx>
                              <wps:bodyPr upright="1"/>
                            </wps:wsp>
                            <wps:wsp>
                              <wps:cNvPr id="29" name="文本框 29"/>
                              <wps:cNvSpPr txBox="1"/>
                              <wps:spPr>
                                <a:xfrm>
                                  <a:off x="3087" y="397599"/>
                                  <a:ext cx="1212" cy="457"/>
                                </a:xfrm>
                                <a:prstGeom prst="rect">
                                  <a:avLst/>
                                </a:prstGeom>
                                <a:noFill/>
                                <a:ln w="12700">
                                  <a:noFill/>
                                </a:ln>
                              </wps:spPr>
                              <wps:txbx>
                                <w:txbxContent>
                                  <w:p>
                                    <w:pPr>
                                      <w:pStyle w:val="20"/>
                                      <w:rPr>
                                        <w:szCs w:val="21"/>
                                      </w:rPr>
                                    </w:pPr>
                                    <w:r>
                                      <w:rPr>
                                        <w:rFonts w:hint="eastAsia"/>
                                        <w:szCs w:val="21"/>
                                      </w:rPr>
                                      <w:t>占用土地</w:t>
                                    </w:r>
                                  </w:p>
                                </w:txbxContent>
                              </wps:txbx>
                              <wps:bodyPr upright="1"/>
                            </wps:wsp>
                            <wps:wsp>
                              <wps:cNvPr id="30" name="文本框 30"/>
                              <wps:cNvSpPr txBox="1"/>
                              <wps:spPr>
                                <a:xfrm>
                                  <a:off x="2906" y="397994"/>
                                  <a:ext cx="1574" cy="457"/>
                                </a:xfrm>
                                <a:prstGeom prst="rect">
                                  <a:avLst/>
                                </a:prstGeom>
                                <a:noFill/>
                                <a:ln w="12700">
                                  <a:noFill/>
                                </a:ln>
                              </wps:spPr>
                              <wps:txbx>
                                <w:txbxContent>
                                  <w:p>
                                    <w:pPr>
                                      <w:pStyle w:val="20"/>
                                      <w:rPr>
                                        <w:szCs w:val="21"/>
                                      </w:rPr>
                                    </w:pPr>
                                    <w:r>
                                      <w:rPr>
                                        <w:rFonts w:hint="eastAsia"/>
                                        <w:szCs w:val="21"/>
                                      </w:rPr>
                                      <w:t>土壤扰动</w:t>
                                    </w:r>
                                  </w:p>
                                </w:txbxContent>
                              </wps:txbx>
                              <wps:bodyPr upright="1"/>
                            </wps:wsp>
                            <wps:wsp>
                              <wps:cNvPr id="31" name="文本框 31"/>
                              <wps:cNvSpPr txBox="1"/>
                              <wps:spPr>
                                <a:xfrm>
                                  <a:off x="8186" y="398092"/>
                                  <a:ext cx="1790" cy="688"/>
                                </a:xfrm>
                                <a:prstGeom prst="rect">
                                  <a:avLst/>
                                </a:prstGeom>
                                <a:noFill/>
                                <a:ln w="12700">
                                  <a:noFill/>
                                </a:ln>
                              </wps:spPr>
                              <wps:txbx>
                                <w:txbxContent>
                                  <w:p>
                                    <w:pPr>
                                      <w:pStyle w:val="20"/>
                                      <w:rPr>
                                        <w:szCs w:val="21"/>
                                      </w:rPr>
                                    </w:pPr>
                                    <w:r>
                                      <w:rPr>
                                        <w:rFonts w:hint="eastAsia"/>
                                        <w:szCs w:val="21"/>
                                      </w:rPr>
                                      <w:t>施工机械废气</w:t>
                                    </w:r>
                                  </w:p>
                                  <w:p>
                                    <w:pPr>
                                      <w:pStyle w:val="20"/>
                                      <w:rPr>
                                        <w:szCs w:val="21"/>
                                      </w:rPr>
                                    </w:pPr>
                                    <w:r>
                                      <w:rPr>
                                        <w:rFonts w:hint="eastAsia"/>
                                        <w:szCs w:val="21"/>
                                      </w:rPr>
                                      <w:t>运输车辆尾气</w:t>
                                    </w:r>
                                  </w:p>
                                </w:txbxContent>
                              </wps:txbx>
                              <wps:bodyPr upright="1"/>
                            </wps:wsp>
                            <wps:wsp>
                              <wps:cNvPr id="32" name="文本框 32"/>
                              <wps:cNvSpPr txBox="1"/>
                              <wps:spPr>
                                <a:xfrm>
                                  <a:off x="4883" y="397954"/>
                                  <a:ext cx="1170" cy="445"/>
                                </a:xfrm>
                                <a:prstGeom prst="rect">
                                  <a:avLst/>
                                </a:prstGeom>
                                <a:noFill/>
                                <a:ln w="12700">
                                  <a:noFill/>
                                </a:ln>
                              </wps:spPr>
                              <wps:txbx>
                                <w:txbxContent>
                                  <w:p>
                                    <w:pPr>
                                      <w:pStyle w:val="20"/>
                                      <w:jc w:val="both"/>
                                    </w:pPr>
                                    <w:r>
                                      <w:rPr>
                                        <w:rFonts w:hint="eastAsia"/>
                                        <w:szCs w:val="21"/>
                                      </w:rPr>
                                      <w:t>生态影响</w:t>
                                    </w:r>
                                  </w:p>
                                </w:txbxContent>
                              </wps:txbx>
                              <wps:bodyPr upright="1"/>
                            </wps:wsp>
                            <wps:wsp>
                              <wps:cNvPr id="33" name="文本框 33"/>
                              <wps:cNvSpPr txBox="1"/>
                              <wps:spPr>
                                <a:xfrm>
                                  <a:off x="6111" y="398020"/>
                                  <a:ext cx="1212" cy="701"/>
                                </a:xfrm>
                                <a:prstGeom prst="rect">
                                  <a:avLst/>
                                </a:prstGeom>
                                <a:noFill/>
                                <a:ln w="12700" cap="flat" cmpd="sng">
                                  <a:solidFill>
                                    <a:srgbClr val="000000"/>
                                  </a:solidFill>
                                  <a:prstDash val="solid"/>
                                  <a:miter/>
                                  <a:headEnd type="none" w="med" len="med"/>
                                  <a:tailEnd type="none" w="med" len="med"/>
                                </a:ln>
                              </wps:spPr>
                              <wps:txbx>
                                <w:txbxContent>
                                  <w:p>
                                    <w:pPr>
                                      <w:pStyle w:val="20"/>
                                    </w:pPr>
                                    <w:r>
                                      <w:rPr>
                                        <w:rFonts w:hint="eastAsia"/>
                                        <w:szCs w:val="21"/>
                                      </w:rPr>
                                      <w:t>井场、道路建设</w:t>
                                    </w:r>
                                  </w:p>
                                </w:txbxContent>
                              </wps:txbx>
                              <wps:bodyPr upright="1"/>
                            </wps:wsp>
                            <wps:wsp>
                              <wps:cNvPr id="34" name="文本框 34"/>
                              <wps:cNvSpPr txBox="1"/>
                              <wps:spPr>
                                <a:xfrm>
                                  <a:off x="6127" y="399351"/>
                                  <a:ext cx="1212" cy="476"/>
                                </a:xfrm>
                                <a:prstGeom prst="rect">
                                  <a:avLst/>
                                </a:prstGeom>
                                <a:noFill/>
                                <a:ln w="12700" cap="flat" cmpd="sng">
                                  <a:solidFill>
                                    <a:srgbClr val="000000"/>
                                  </a:solidFill>
                                  <a:prstDash val="solid"/>
                                  <a:miter/>
                                  <a:headEnd type="none" w="med" len="med"/>
                                  <a:tailEnd type="none" w="med" len="med"/>
                                </a:ln>
                              </wps:spPr>
                              <wps:txbx>
                                <w:txbxContent>
                                  <w:p>
                                    <w:pPr>
                                      <w:pStyle w:val="20"/>
                                      <w:rPr>
                                        <w:szCs w:val="21"/>
                                      </w:rPr>
                                    </w:pPr>
                                    <w:r>
                                      <w:rPr>
                                        <w:rFonts w:hint="eastAsia"/>
                                        <w:szCs w:val="21"/>
                                      </w:rPr>
                                      <w:t>生活营地</w:t>
                                    </w:r>
                                  </w:p>
                                </w:txbxContent>
                              </wps:txbx>
                              <wps:bodyPr upright="1"/>
                            </wps:wsp>
                            <wps:wsp>
                              <wps:cNvPr id="35" name="直接连接符 35"/>
                              <wps:cNvCnPr/>
                              <wps:spPr>
                                <a:xfrm>
                                  <a:off x="7347" y="399586"/>
                                  <a:ext cx="708" cy="1"/>
                                </a:xfrm>
                                <a:prstGeom prst="line">
                                  <a:avLst/>
                                </a:prstGeom>
                                <a:ln w="12700" cap="flat" cmpd="sng">
                                  <a:solidFill>
                                    <a:srgbClr val="000000"/>
                                  </a:solidFill>
                                  <a:prstDash val="dash"/>
                                  <a:headEnd type="none" w="med" len="med"/>
                                  <a:tailEnd type="triangle" w="med" len="med"/>
                                </a:ln>
                              </wps:spPr>
                              <wps:bodyPr/>
                            </wps:wsp>
                            <wps:wsp>
                              <wps:cNvPr id="36" name="直接连接符 36"/>
                              <wps:cNvCnPr/>
                              <wps:spPr>
                                <a:xfrm>
                                  <a:off x="8042" y="397821"/>
                                  <a:ext cx="373" cy="0"/>
                                </a:xfrm>
                                <a:prstGeom prst="line">
                                  <a:avLst/>
                                </a:prstGeom>
                                <a:ln w="12700" cap="flat" cmpd="sng">
                                  <a:solidFill>
                                    <a:srgbClr val="000000"/>
                                  </a:solidFill>
                                  <a:prstDash val="dash"/>
                                  <a:headEnd type="none" w="med" len="med"/>
                                  <a:tailEnd type="triangle" w="med" len="med"/>
                                </a:ln>
                              </wps:spPr>
                              <wps:bodyPr/>
                            </wps:wsp>
                            <wps:wsp>
                              <wps:cNvPr id="37" name="直接连接符 37"/>
                              <wps:cNvCnPr/>
                              <wps:spPr>
                                <a:xfrm>
                                  <a:off x="8051" y="398387"/>
                                  <a:ext cx="373" cy="0"/>
                                </a:xfrm>
                                <a:prstGeom prst="line">
                                  <a:avLst/>
                                </a:prstGeom>
                                <a:ln w="12700" cap="flat" cmpd="sng">
                                  <a:solidFill>
                                    <a:srgbClr val="000000"/>
                                  </a:solidFill>
                                  <a:prstDash val="dash"/>
                                  <a:headEnd type="none" w="med" len="med"/>
                                  <a:tailEnd type="triangle" w="med" len="med"/>
                                </a:ln>
                              </wps:spPr>
                              <wps:bodyPr/>
                            </wps:wsp>
                            <wps:wsp>
                              <wps:cNvPr id="38" name="直接连接符 38"/>
                              <wps:cNvCnPr/>
                              <wps:spPr>
                                <a:xfrm>
                                  <a:off x="7325" y="398380"/>
                                  <a:ext cx="708" cy="1"/>
                                </a:xfrm>
                                <a:prstGeom prst="line">
                                  <a:avLst/>
                                </a:prstGeom>
                                <a:ln w="12700" cap="flat" cmpd="sng">
                                  <a:solidFill>
                                    <a:srgbClr val="000000"/>
                                  </a:solidFill>
                                  <a:prstDash val="dash"/>
                                  <a:headEnd type="none" w="med" len="med"/>
                                  <a:tailEnd type="triangle" w="med" len="med"/>
                                </a:ln>
                              </wps:spPr>
                              <wps:bodyPr/>
                            </wps:wsp>
                            <wps:wsp>
                              <wps:cNvPr id="39" name="直接连接符 39"/>
                              <wps:cNvCnPr/>
                              <wps:spPr>
                                <a:xfrm flipH="1">
                                  <a:off x="8024" y="397820"/>
                                  <a:ext cx="8" cy="1142"/>
                                </a:xfrm>
                                <a:prstGeom prst="line">
                                  <a:avLst/>
                                </a:prstGeom>
                                <a:ln w="12700" cap="flat" cmpd="sng">
                                  <a:solidFill>
                                    <a:srgbClr val="000000"/>
                                  </a:solidFill>
                                  <a:prstDash val="dash"/>
                                  <a:headEnd type="none" w="med" len="med"/>
                                  <a:tailEnd type="none" w="med" len="med"/>
                                </a:ln>
                              </wps:spPr>
                              <wps:bodyPr/>
                            </wps:wsp>
                            <wps:wsp>
                              <wps:cNvPr id="40" name="直接连接符 40"/>
                              <wps:cNvCnPr/>
                              <wps:spPr>
                                <a:xfrm>
                                  <a:off x="8034" y="398950"/>
                                  <a:ext cx="373" cy="0"/>
                                </a:xfrm>
                                <a:prstGeom prst="line">
                                  <a:avLst/>
                                </a:prstGeom>
                                <a:ln w="12700" cap="flat" cmpd="sng">
                                  <a:solidFill>
                                    <a:srgbClr val="000000"/>
                                  </a:solidFill>
                                  <a:prstDash val="dash"/>
                                  <a:headEnd type="none" w="med" len="med"/>
                                  <a:tailEnd type="triangle" w="med" len="med"/>
                                </a:ln>
                              </wps:spPr>
                              <wps:bodyPr/>
                            </wps:wsp>
                            <wps:wsp>
                              <wps:cNvPr id="41" name="文本框 41"/>
                              <wps:cNvSpPr txBox="1"/>
                              <wps:spPr>
                                <a:xfrm>
                                  <a:off x="8424" y="397635"/>
                                  <a:ext cx="1212" cy="435"/>
                                </a:xfrm>
                                <a:prstGeom prst="rect">
                                  <a:avLst/>
                                </a:prstGeom>
                                <a:noFill/>
                                <a:ln w="12700">
                                  <a:noFill/>
                                </a:ln>
                              </wps:spPr>
                              <wps:txbx>
                                <w:txbxContent>
                                  <w:p>
                                    <w:pPr>
                                      <w:pStyle w:val="20"/>
                                      <w:rPr>
                                        <w:szCs w:val="21"/>
                                      </w:rPr>
                                    </w:pPr>
                                    <w:r>
                                      <w:rPr>
                                        <w:rFonts w:hint="eastAsia"/>
                                        <w:szCs w:val="21"/>
                                      </w:rPr>
                                      <w:t>扬尘</w:t>
                                    </w:r>
                                  </w:p>
                                </w:txbxContent>
                              </wps:txbx>
                              <wps:bodyPr upright="1"/>
                            </wps:wsp>
                            <wps:wsp>
                              <wps:cNvPr id="42" name="文本框 42"/>
                              <wps:cNvSpPr txBox="1"/>
                              <wps:spPr>
                                <a:xfrm>
                                  <a:off x="8496" y="398713"/>
                                  <a:ext cx="1212" cy="435"/>
                                </a:xfrm>
                                <a:prstGeom prst="rect">
                                  <a:avLst/>
                                </a:prstGeom>
                                <a:noFill/>
                                <a:ln w="12700">
                                  <a:noFill/>
                                </a:ln>
                              </wps:spPr>
                              <wps:txbx>
                                <w:txbxContent>
                                  <w:p>
                                    <w:pPr>
                                      <w:pStyle w:val="20"/>
                                      <w:rPr>
                                        <w:szCs w:val="21"/>
                                      </w:rPr>
                                    </w:pPr>
                                    <w:r>
                                      <w:rPr>
                                        <w:rFonts w:hint="eastAsia"/>
                                        <w:szCs w:val="21"/>
                                      </w:rPr>
                                      <w:t>噪声</w:t>
                                    </w:r>
                                  </w:p>
                                </w:txbxContent>
                              </wps:txbx>
                              <wps:bodyPr upright="1"/>
                            </wps:wsp>
                            <wps:wsp>
                              <wps:cNvPr id="44" name="直接连接符 44"/>
                              <wps:cNvCnPr/>
                              <wps:spPr>
                                <a:xfrm>
                                  <a:off x="5457" y="399566"/>
                                  <a:ext cx="664" cy="1"/>
                                </a:xfrm>
                                <a:prstGeom prst="line">
                                  <a:avLst/>
                                </a:prstGeom>
                                <a:ln w="12700" cap="flat" cmpd="sng">
                                  <a:solidFill>
                                    <a:srgbClr val="000000"/>
                                  </a:solidFill>
                                  <a:prstDash val="dash"/>
                                  <a:headEnd type="none" w="med" len="med"/>
                                  <a:tailEnd type="none" w="med" len="med"/>
                                </a:ln>
                              </wps:spPr>
                              <wps:bodyPr/>
                            </wps:wsp>
                            <wps:wsp>
                              <wps:cNvPr id="45" name="直接连接符 45"/>
                              <wps:cNvCnPr/>
                              <wps:spPr>
                                <a:xfrm>
                                  <a:off x="5440" y="398401"/>
                                  <a:ext cx="19" cy="1202"/>
                                </a:xfrm>
                                <a:prstGeom prst="line">
                                  <a:avLst/>
                                </a:prstGeom>
                                <a:ln w="12700" cap="flat" cmpd="sng">
                                  <a:solidFill>
                                    <a:srgbClr val="000000"/>
                                  </a:solidFill>
                                  <a:prstDash val="dash"/>
                                  <a:headEnd type="triangle" w="med" len="med"/>
                                  <a:tailEnd type="none" w="med" len="med"/>
                                </a:ln>
                              </wps:spPr>
                              <wps:bodyPr/>
                            </wps:wsp>
                            <wps:wsp>
                              <wps:cNvPr id="46" name="直接连接符 46"/>
                              <wps:cNvCnPr/>
                              <wps:spPr>
                                <a:xfrm>
                                  <a:off x="8053" y="399346"/>
                                  <a:ext cx="3" cy="522"/>
                                </a:xfrm>
                                <a:prstGeom prst="line">
                                  <a:avLst/>
                                </a:prstGeom>
                                <a:ln w="12700" cap="flat" cmpd="sng">
                                  <a:solidFill>
                                    <a:srgbClr val="000000"/>
                                  </a:solidFill>
                                  <a:prstDash val="dash"/>
                                  <a:headEnd type="none" w="med" len="med"/>
                                  <a:tailEnd type="none" w="med" len="med"/>
                                </a:ln>
                              </wps:spPr>
                              <wps:bodyPr/>
                            </wps:wsp>
                            <wps:wsp>
                              <wps:cNvPr id="47" name="直接连接符 47"/>
                              <wps:cNvCnPr/>
                              <wps:spPr>
                                <a:xfrm>
                                  <a:off x="8066" y="399362"/>
                                  <a:ext cx="373" cy="0"/>
                                </a:xfrm>
                                <a:prstGeom prst="line">
                                  <a:avLst/>
                                </a:prstGeom>
                                <a:ln w="12700" cap="flat" cmpd="sng">
                                  <a:solidFill>
                                    <a:srgbClr val="000000"/>
                                  </a:solidFill>
                                  <a:prstDash val="dash"/>
                                  <a:headEnd type="none" w="med" len="med"/>
                                  <a:tailEnd type="triangle" w="med" len="med"/>
                                </a:ln>
                              </wps:spPr>
                              <wps:bodyPr/>
                            </wps:wsp>
                            <wps:wsp>
                              <wps:cNvPr id="48" name="直接连接符 48"/>
                              <wps:cNvCnPr/>
                              <wps:spPr>
                                <a:xfrm>
                                  <a:off x="8066" y="399867"/>
                                  <a:ext cx="373" cy="0"/>
                                </a:xfrm>
                                <a:prstGeom prst="line">
                                  <a:avLst/>
                                </a:prstGeom>
                                <a:ln w="12700" cap="flat" cmpd="sng">
                                  <a:solidFill>
                                    <a:srgbClr val="000000"/>
                                  </a:solidFill>
                                  <a:prstDash val="dash"/>
                                  <a:headEnd type="none" w="med" len="med"/>
                                  <a:tailEnd type="triangle" w="med" len="med"/>
                                </a:ln>
                              </wps:spPr>
                              <wps:bodyPr/>
                            </wps:wsp>
                            <wps:wsp>
                              <wps:cNvPr id="49" name="文本框 49"/>
                              <wps:cNvSpPr txBox="1"/>
                              <wps:spPr>
                                <a:xfrm>
                                  <a:off x="8349" y="399122"/>
                                  <a:ext cx="1212" cy="435"/>
                                </a:xfrm>
                                <a:prstGeom prst="rect">
                                  <a:avLst/>
                                </a:prstGeom>
                                <a:noFill/>
                                <a:ln w="12700">
                                  <a:noFill/>
                                </a:ln>
                              </wps:spPr>
                              <wps:txbx>
                                <w:txbxContent>
                                  <w:p>
                                    <w:pPr>
                                      <w:pStyle w:val="20"/>
                                      <w:rPr>
                                        <w:szCs w:val="21"/>
                                      </w:rPr>
                                    </w:pPr>
                                    <w:r>
                                      <w:rPr>
                                        <w:rFonts w:hint="eastAsia"/>
                                        <w:szCs w:val="21"/>
                                      </w:rPr>
                                      <w:t>生活污水</w:t>
                                    </w:r>
                                  </w:p>
                                </w:txbxContent>
                              </wps:txbx>
                              <wps:bodyPr upright="1"/>
                            </wps:wsp>
                            <wps:wsp>
                              <wps:cNvPr id="50" name="文本框 50"/>
                              <wps:cNvSpPr txBox="1"/>
                              <wps:spPr>
                                <a:xfrm>
                                  <a:off x="8358" y="399649"/>
                                  <a:ext cx="1212" cy="435"/>
                                </a:xfrm>
                                <a:prstGeom prst="rect">
                                  <a:avLst/>
                                </a:prstGeom>
                                <a:noFill/>
                                <a:ln w="12700">
                                  <a:noFill/>
                                </a:ln>
                              </wps:spPr>
                              <wps:txbx>
                                <w:txbxContent>
                                  <w:p>
                                    <w:pPr>
                                      <w:pStyle w:val="20"/>
                                      <w:rPr>
                                        <w:szCs w:val="21"/>
                                      </w:rPr>
                                    </w:pPr>
                                    <w:r>
                                      <w:rPr>
                                        <w:rFonts w:hint="eastAsia"/>
                                        <w:szCs w:val="21"/>
                                      </w:rPr>
                                      <w:t>生活垃圾</w:t>
                                    </w:r>
                                  </w:p>
                                </w:txbxContent>
                              </wps:txbx>
                              <wps:bodyPr upright="1"/>
                            </wps:wsp>
                          </wpg:wgp>
                        </a:graphicData>
                      </a:graphic>
                    </wp:anchor>
                  </w:drawing>
                </mc:Choice>
                <mc:Fallback>
                  <w:pict>
                    <v:group id="_x0000_s1026" o:spid="_x0000_s1026" o:spt="203" style="position:absolute;left:0pt;margin-left:-3.65pt;margin-top:2.65pt;height:124.25pt;width:359.15pt;z-index:251667456;mso-width-relative:page;mso-height-relative:page;" coordorigin="2793,397599" coordsize="7183,2485" o:gfxdata="UEsDBAoAAAAAAIdO4kAAAAAAAAAAAAAAAAAEAAAAZHJzL1BLAwQUAAAACACHTuJA4SaSedkAAAAI&#10;AQAADwAAAGRycy9kb3ducmV2LnhtbE2PwWrDMBBE74X+g9hCb4msGDfBtRxKaHsKhSaF0ptibWwT&#10;a2UsxU7+vttTc1qGGWbfFOuL68SIQ2g9aVDzBARS5W1LtYav/dtsBSJEQ9Z0nlDDFQOsy/u7wuTW&#10;T/SJ4y7Wgkso5EZDE2OfSxmqBp0Jc98jsXf0gzOR5VBLO5iJy10nF0nyJJ1piT80psdNg9Vpd3Ya&#10;3iczvaTqddyejpvrzz77+N4q1PrxQSXPICJe4n8Y/vAZHUpmOvgz2SA6DbNlykkNGR+2l0rxtIOG&#10;RZauQJaFvB1Q/gJQSwMEFAAAAAgAh07iQMnLsO5UBgAAqjgAAA4AAABkcnMvZTJvRG9jLnhtbO1b&#10;TW/jRBi+I/EfRr7T+PtLTVdiu1sOCFZa+AFT20ks+Utjt0nvCDghTlxASHtYTnvkxoFfQ8vP4J0P&#10;j10nbuOwW5LgHlJnxp7MPPPM+/HM+PTZKk3QdUTKOM+minaiKijKgjyMs/lU+fqrl5+4CiornIU4&#10;ybNoqtxEpfLs7OOPTpeFH+n5Ik/CiCBoJCv9ZTFVFlVV+JNJGSyiFJcneRFlUDnLSYor+Ermk5Dg&#10;JbSeJhNdVe3JMidhQfIgKksoPeeVimiRbNNgPpvFQXSeB1dplFW8VRIluIIhlYu4KJUz1tvZLAqq&#10;L2ezMqpQMlVgpBX7hB+B60v6OTk7xf6c4GIRB6ILeJsudMaU4jiDH5VNneMKoysSrzWVxgHJy3xW&#10;nQR5OuEDYYjAKDS1g80Fya8KNpa5v5wXEnSYqA7qOzcbfHH9iqA4nCqWpqAMpzDjd39889eP3yMo&#10;AHSWxdyHmy5I8bp4RUTBnH+jA17NSEr/w1DQiuF6I3GNVhUKoNC0bE1XLQUFUKdZjuM5Fkc+WMD0&#10;0Od0xzMUBNUG1HleXftCtOBoLlTTx3XTZc9O6p+e0B7KDi0LYGXZQFX+O6heL3ARsRkoKQoCKr2B&#10;6uffb394+/efv8Ln3bvfENQwiNjdzzMBWOmXgN0GtEyHNsVG7RquzUddo6YZHixFBhmtkAPGfkHK&#10;6iLKU0QvpkoSZ7SP2MfXn5cVv7W+hRYnGVoC7rqjAusDDGt2BmsFLtMC5r3M5uzhMk/i8GWcJPSR&#10;kswvnycEXWO6btif6MO92+ivnONywe8L4YoPYRHh8EUWouqmAD5VJMbZPIkU2o00ChWURGB66BV0&#10;FvsVjpPm7gyszuY7AYEkAyDoHHNA6dVlHt4wnFk5zD3l7FOQQJfrpUsCnY6LdgIosxUJ7Jr6jscI&#10;hH1JAsEAzWbsOFwS9E/rwRIALJIwmF0CGMMIYMDkCtvnqi5fFDUBDEcYPuarDnf+j9QImL0cMHfl&#10;gKtzL9IYgZED913GnjkCCGx67ACLVLZ3BI0dcC2nEw2MHNhrDoAB7+EAm8cBHLAg6OMRoWeL/GT0&#10;BQcREDo1B25/+u72l3e3b75FutPyAjSBQtXq0xzyHZkn9GQGumtAsM554JislcYfaJBP8bjQNO4n&#10;Q2u5AYEM+KHcIMtpyM/C8HaaQMNyWbXZ3Fary5UIc3kIjq4KEs8XkJCwwT11OA7Lhq/AFvoslhJr&#10;bxD6TTbqGjYL59voQ37K8jLTYRPTH5T9f9AHRNbQZ1n8DugbqgtLiXG/0QJqG6jpGiReNCs2rRF9&#10;Lt1QU9FFH8qaJHQQ9z1VZiOex6LYNvcdiHhH9NtqkCHVoMbyQNlu6LsayEDC7qte1/I4HlVwgPu2&#10;y0zbaHkUQ8owLfTbAswQ7psulRm55fGsLvc1R6BvmqPXFZZHaiAt9NvqxxD0bU2Taqiqd2Lfxu47&#10;Ko8vagH4fcU8H1IaZaopNQnYT+MqIuzqvkr64QSyPYvUDKmZtDjTVkuGcQZCbL5iPYPvWLS8VRMr&#10;8HT6vdvLkTNPI7ZDmtOTX/MEaOv82jEgmRJ8sbo7Lg6Ir8y9PmJg9n3DZXtT8rAquznx+682XIxe&#10;jQVqmmjr8Q0XVzUhaOBe3j1WrfVIOSA1lrvOnovRVlq24QDd72YcgJ3Xjr5yLFrrkXJAKj1rHGjr&#10;PY9zwDF0cCs1Bzrx5ugL9llvN6TetMaBturUwwE0S+LiM6pT0oBcnFxxVR0C09ordNhQxwUaeA5w&#10;Nf1x5PGEBv3GY7/CAlOKX10qQM2wsIBmJtwceFaHAKNL2GdzYG6Q4KCsmf0hKaVrNobA5unFxpRy&#10;3HoRx+FoNN2Vn7md3EH8d01PCqCOxqSkEX1+VHbzYURTyilr9q8tqvS4wpYDtOiGCrd/nsWPmzXI&#10;2zb8zBGcRez3aod6DA206B5phKvUW0sjlkldKfd/JtdYm/nXxJYnnOM98AjoYcnjYFnQK46YQ8UR&#10;q94C8Qz+bMMCcRTR0g+cA0doBXqFEX54ZGsr4KryMKq3dvRhjIL3OgruFUbMYcJImwOuPYpjD76/&#10;sGfZsBRGms01sy2JDMqEDHhURIQat/mNL2g2ZMdDaPWLQaAarGVCXEnYJRMy5FFQz+ZzeLDos5e0&#10;4BU2Jp2J1+3oO3Lt7+zNnuYVw7N/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YIAABbQ29udGVudF9UeXBlc10ueG1sUEsBAhQACgAAAAAAh07i&#10;QAAAAAAAAAAAAAAAAAYAAAAAAAAAAAAQAAAAqAcAAF9yZWxzL1BLAQIUABQAAAAIAIdO4kCKFGY8&#10;0QAAAJQBAAALAAAAAAAAAAEAIAAAAMwHAABfcmVscy8ucmVsc1BLAQIUAAoAAAAAAIdO4kAAAAAA&#10;AAAAAAAAAAAEAAAAAAAAAAAAEAAAAAAAAABkcnMvUEsBAhQAFAAAAAgAh07iQOEmknnZAAAACAEA&#10;AA8AAAAAAAAAAQAgAAAAIgAAAGRycy9kb3ducmV2LnhtbFBLAQIUABQAAAAIAIdO4kDJy7DuVAYA&#10;AKo4AAAOAAAAAAAAAAEAIAAAACgBAABkcnMvZTJvRG9jLnhtbFBLBQYAAAAABgAGAFkBAADuCQAA&#10;AAA=&#10;">
                      <o:lock v:ext="edit" aspectratio="f"/>
                      <v:line id="_x0000_s1026" o:spid="_x0000_s1026" o:spt="20" style="position:absolute;left:4721;top:398386;height:1;width:1398;" filled="f" stroked="t" coordsize="21600,21600" o:gfxdata="UEsDBAoAAAAAAIdO4kAAAAAAAAAAAAAAAAAEAAAAZHJzL1BLAwQUAAAACACHTuJAA2/6VrwAAADb&#10;AAAADwAAAGRycy9kb3ducmV2LnhtbEWPS4sCMRCE78L+h9DC3jQZDzo7GkWEBXEPsu54byc9D5x0&#10;hkl8/XsjCHssquorarG621ZcqfeNYw3JWIEgLpxpuNKQ/32PUhA+IBtsHZOGB3lYLT8GC8yMu/Ev&#10;XQ+hEhHCPkMNdQhdJqUvarLox64jjl7peoshyr6SpsdbhNtWTpSaSosNx4UaO9rUVJwPF6thd9p/&#10;bdMft1au3O/Sxyw/bspc689houYgAt3Df/jd3hoNkwReX+IPkM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v+la8AAAA&#10;2wAAAA8AAAAAAAAAAQAgAAAAIgAAAGRycy9kb3ducmV2LnhtbFBLAQIUABQAAAAIAIdO4kAzLwWe&#10;OwAAADkAAAAQAAAAAAAAAAEAIAAAAAsBAABkcnMvc2hhcGV4bWwueG1sUEsFBgAAAAAGAAYAWwEA&#10;ALUDAAAAAA==&#10;">
                        <v:fill on="f" focussize="0,0"/>
                        <v:stroke weight="1pt" color="#000000" joinstyle="round" dashstyle="dash" startarrow="block"/>
                        <v:imagedata o:title=""/>
                        <o:lock v:ext="edit" aspectratio="f"/>
                      </v:line>
                      <v:line id="_x0000_s1026" o:spid="_x0000_s1026" o:spt="20" style="position:absolute;left:4726;top:397791;height:1166;width:1;" filled="f" stroked="t" coordsize="21600,21600" o:gfxdata="UEsDBAoAAAAAAIdO4kAAAAAAAAAAAAAAAAAEAAAAZHJzL1BLAwQUAAAACACHTuJAmAwS7rsAAADb&#10;AAAADwAAAGRycy9kb3ducmV2LnhtbEWPQWsCMRSE74X+h/AKXopmzUHa1biUBcVrVdrr6+a5Wdy8&#10;hE2q679vBKHHYWa+YVbV6HpxoSF2njXMZwUI4sabjlsNx8Nm+gYiJmSDvWfScKMI1fr5aYWl8Vf+&#10;pMs+tSJDOJaowaYUSiljY8lhnPlAnL2THxymLIdWmgGvGe56qYpiIR12nBcsBqotNef9r9Mw8ia8&#10;Lzypb/VT20AfW5dev7SevMyLJYhEY/oPP9o7o0EpuH/JP0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AwS7rsAAADb&#10;AAAADwAAAAAAAAABACAAAAAiAAAAZHJzL2Rvd25yZXYueG1sUEsBAhQAFAAAAAgAh07iQDMvBZ47&#10;AAAAOQAAABAAAAAAAAAAAQAgAAAACgEAAGRycy9zaGFwZXhtbC54bWxQSwUGAAAAAAYABgBbAQAA&#10;tAMAAAAA&#10;">
                        <v:fill on="f" focussize="0,0"/>
                        <v:stroke weight="1pt" color="#000000" joinstyle="round" dashstyle="dash"/>
                        <v:imagedata o:title=""/>
                        <o:lock v:ext="edit" aspectratio="f"/>
                      </v:line>
                      <v:line id="_x0000_s1026" o:spid="_x0000_s1026" o:spt="20" style="position:absolute;left:4366;top:397808;height:0;width:373;" filled="f" stroked="t" coordsize="21600,21600" o:gfxdata="UEsDBAoAAAAAAIdO4kAAAAAAAAAAAAAAAAAEAAAAZHJzL1BLAwQUAAAACACHTuJAnPHBurwAAADb&#10;AAAADwAAAGRycy9kb3ducmV2LnhtbEWPS4sCMRCE7wv+h9CCtzVRYXccjSKCIHqQ1fHeTnoeOOkM&#10;k/j692ZhYY9FVX1FzZdP24g7db52rGE0VCCIc2dqLjVkp81nAsIHZIONY9LwIg/LRe9jjqlxD/6h&#10;+zGUIkLYp6ihCqFNpfR5RRb90LXE0StcZzFE2ZXSdPiIcNvIsVJf0mLNcaHCltYV5dfjzWrYXQ7T&#10;bbJ3K+WKwy55fWfndZFpPeiP1AxEoGf4D/+1t0bDeAK/X+IPkI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zxwbq8AAAA&#10;2wAAAA8AAAAAAAAAAQAgAAAAIgAAAGRycy9kb3ducmV2LnhtbFBLAQIUABQAAAAIAIdO4kAzLwWe&#10;OwAAADkAAAAQAAAAAAAAAAEAIAAAAAsBAABkcnMvc2hhcGV4bWwueG1sUEsFBgAAAAAGAAYAWwEA&#10;ALUDAAAAAA==&#10;">
                        <v:fill on="f" focussize="0,0"/>
                        <v:stroke weight="1pt" color="#000000" joinstyle="round" dashstyle="dash" startarrow="block"/>
                        <v:imagedata o:title=""/>
                        <o:lock v:ext="edit" aspectratio="f"/>
                      </v:line>
                      <v:line id="_x0000_s1026" o:spid="_x0000_s1026" o:spt="20" style="position:absolute;left:4366;top:398221;height:0;width:373;" filled="f" stroked="t" coordsize="21600,21600" o:gfxdata="UEsDBAoAAAAAAIdO4kAAAAAAAAAAAAAAAAAEAAAAZHJzL1BLAwQUAAAACACHTuJAExhZzrwAAADb&#10;AAAADwAAAGRycy9kb3ducmV2LnhtbEWPS4sCMRCE7wv+h9CCtzVRZHccjSKCIHqQ1fHeTnoeOOkM&#10;k/j692ZhYY9FVX1FzZdP24g7db52rGE0VCCIc2dqLjVkp81nAsIHZIONY9LwIg/LRe9jjqlxD/6h&#10;+zGUIkLYp6ihCqFNpfR5RRb90LXE0StcZzFE2ZXSdPiIcNvIsVJf0mLNcaHCltYV5dfjzWrYXQ7T&#10;bbJ3K+WKwy55fWfndZFpPeiP1AxEoGf4D/+1t0bDeAK/X+IPkI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YWc68AAAA&#10;2wAAAA8AAAAAAAAAAQAgAAAAIgAAAGRycy9kb3ducmV2LnhtbFBLAQIUABQAAAAIAIdO4kAzLwWe&#10;OwAAADkAAAAQAAAAAAAAAAEAIAAAAAsBAABkcnMvc2hhcGV4bWwueG1sUEsFBgAAAAAGAAYAWwEA&#10;ALUDAAAAAA==&#10;">
                        <v:fill on="f" focussize="0,0"/>
                        <v:stroke weight="1pt" color="#000000" joinstyle="round" dashstyle="dash" startarrow="block"/>
                        <v:imagedata o:title=""/>
                        <o:lock v:ext="edit" aspectratio="f"/>
                      </v:line>
                      <v:line id="_x0000_s1026" o:spid="_x0000_s1026" o:spt="20" style="position:absolute;left:4366;top:398576;height:0;width:373;" filled="f" stroked="t" coordsize="21600,21600" o:gfxdata="UEsDBAoAAAAAAIdO4kAAAAAAAAAAAAAAAAAEAAAAZHJzL1BLAwQUAAAACACHTuJAfFT8VbwAAADb&#10;AAAADwAAAGRycy9kb3ducmV2LnhtbEWPS4sCMRCE7wv+h9CCtzVRcHccjSKCIHqQ1fHeTnoeOOkM&#10;k/j692ZhYY9FVX1FzZdP24g7db52rGE0VCCIc2dqLjVkp81nAsIHZIONY9LwIg/LRe9jjqlxD/6h&#10;+zGUIkLYp6ihCqFNpfR5RRb90LXE0StcZzFE2ZXSdPiIcNvIsVJf0mLNcaHCltYV5dfjzWrYXQ7T&#10;bbJ3K+WKwy55fWfndZFpPeiP1AxEoGf4D/+1t0bDeAK/X+IPkI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U/FW8AAAA&#10;2wAAAA8AAAAAAAAAAQAgAAAAIgAAAGRycy9kb3ducmV2LnhtbFBLAQIUABQAAAAIAIdO4kAzLwWe&#10;OwAAADkAAAAQAAAAAAAAAAEAIAAAAAsBAABkcnMvc2hhcGV4bWwueG1sUEsFBgAAAAAGAAYAWwEA&#10;ALUDAAAAAA==&#10;">
                        <v:fill on="f" focussize="0,0"/>
                        <v:stroke weight="1pt" color="#000000" joinstyle="round" dashstyle="dash" startarrow="block"/>
                        <v:imagedata o:title=""/>
                        <o:lock v:ext="edit" aspectratio="f"/>
                      </v:line>
                      <v:line id="_x0000_s1026" o:spid="_x0000_s1026" o:spt="20" style="position:absolute;left:4358;top:398960;height:0;width:373;" filled="f" stroked="t" coordsize="21600,21600" o:gfxdata="UEsDBAoAAAAAAIdO4kAAAAAAAAAAAAAAAAAEAAAAZHJzL1BLAwQUAAAACACHTuJAjIZiIr0AAADb&#10;AAAADwAAAGRycy9kb3ducmV2LnhtbEWPS4sCMRCE74L/IbSwNyfRgzvOGkWEBXEPoo733knPAyed&#10;YZL18e83guCxqKqvqMXqbltxpd43jjVMEgWCuHCm4UpDfvoepyB8QDbYOiYND/KwWg4HC8yMu/GB&#10;rsdQiQhhn6GGOoQuk9IXNVn0ieuIo1e63mKIsq+k6fEW4baVU6Vm0mLDcaHGjjY1FZfjn9Ww+93P&#10;t+mPWytX7nfp4zM/b8pc64/RRH2BCHQP7/CrvTUapjN4fok/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hmIivQAA&#10;ANsAAAAPAAAAAAAAAAEAIAAAACIAAABkcnMvZG93bnJldi54bWxQSwECFAAUAAAACACHTuJAMy8F&#10;njsAAAA5AAAAEAAAAAAAAAABACAAAAAMAQAAZHJzL3NoYXBleG1sLnhtbFBLBQYAAAAABgAGAFsB&#10;AAC2AwAAAAA=&#10;">
                        <v:fill on="f" focussize="0,0"/>
                        <v:stroke weight="1pt" color="#000000" joinstyle="round" dashstyle="dash" startarrow="block"/>
                        <v:imagedata o:title=""/>
                        <o:lock v:ext="edit" aspectratio="f"/>
                      </v:line>
                      <v:shape id="_x0000_s1026" o:spid="_x0000_s1026" o:spt="202" type="#_x0000_t202" style="position:absolute;left:2830;top:398747;height:435;width:1561;" filled="f" stroked="f" coordsize="21600,21600" o:gfxdata="UEsDBAoAAAAAAIdO4kAAAAAAAAAAAAAAAAAEAAAAZHJzL1BLAwQUAAAACACHTuJAA5Oo0r0AAADb&#10;AAAADwAAAGRycy9kb3ducmV2LnhtbEWPQYvCMBCF74L/IYzgzaZW0LUaRQVBDx7W3b2PzdgWm0lt&#10;YtX99ZsFwePjzfvevPnyYSrRUuNKywqGUQyCOLO65FzB99d28AHCeWSNlWVS8CQHy0W3M8dU2zt/&#10;Unv0uQgQdikqKLyvUyldVpBBF9maOHhn2xj0QTa51A3eA9xUMonjsTRYcmgosKZNQdnleDPhjfbn&#10;NJr6lXXucE7W+188nC5Xpfq9YTwD4enh38ev9E4rSCbwvyUA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k6jS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影响野生动物</w:t>
                              </w:r>
                            </w:p>
                          </w:txbxContent>
                        </v:textbox>
                      </v:shape>
                      <v:shape id="_x0000_s1026" o:spid="_x0000_s1026" o:spt="202" type="#_x0000_t202" style="position:absolute;left:2793;top:398362;height:477;width:1599;" filled="f" stroked="f" coordsize="21600,21600" o:gfxdata="UEsDBAoAAAAAAIdO4kAAAAAAAAAAAAAAAAAEAAAAZHJzL1BLAwQUAAAACACHTuJAcgw8oL0AAADb&#10;AAAADwAAAGRycy9kb3ducmV2LnhtbEWPwW7CMAyG70i8Q+RJu0FKkSboCNWYhMQOHAbsbhrTVm2c&#10;rgmF7ennwySO1u//8+dVfnetGqgPtWcDs2kCirjwtubSwOm4nSxAhYhssfVMBn4oQL4ej1aYWX/j&#10;TxoOsVQC4ZChgSrGLtM6FBU5DFPfEUt28b3DKGNfatvjTeCu1WmSvGiHNcuFCjt6r6hoDlcnGsPX&#10;eb6Mbz6E/SXdfPzi/tx8G/P8NEteQUW6x8fyf3tnDaQiK78IAPT6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DDyg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破坏地表植被</w:t>
                              </w:r>
                            </w:p>
                          </w:txbxContent>
                        </v:textbox>
                      </v:shape>
                      <v:shape id="_x0000_s1026" o:spid="_x0000_s1026" o:spt="202" type="#_x0000_t202" style="position:absolute;left:3087;top:397599;height:457;width:1212;" filled="f" stroked="f" coordsize="21600,21600" o:gfxdata="UEsDBAoAAAAAAIdO4kAAAAAAAAAAAAAAAAAEAAAAZHJzL1BLAwQUAAAACACHTuJAHUCZO70AAADb&#10;AAAADwAAAGRycy9kb3ducmV2LnhtbEWPQWvCQBCF74L/YRnBm9kkgpjUVWqhYA8equ19zI5JMDsb&#10;s2ti/fXdQsHj48373rzV5m4a0VPnassKkigGQVxYXXOp4Ov4PluCcB5ZY2OZFPyQg816PFphru3A&#10;n9QffCkChF2OCirv21xKV1Rk0EW2JQ7e2XYGfZBdKXWHQ4CbRqZxvJAGaw4NFbb0VlFxOdxMeKP/&#10;Ps0z/2qd25/T7ccD96fLVanpJIlfQHi6++fxf3qnFaQZ/G0JAJ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QJk7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占用土地</w:t>
                              </w:r>
                            </w:p>
                          </w:txbxContent>
                        </v:textbox>
                      </v:shape>
                      <v:shape id="_x0000_s1026" o:spid="_x0000_s1026" o:spt="202" type="#_x0000_t202" style="position:absolute;left:2906;top:397994;height:457;width:1574;" filled="f" stroked="f" coordsize="21600,21600" o:gfxdata="UEsDBAoAAAAAAIdO4kAAAAAAAAAAAAAAAAAEAAAAZHJzL1BLAwQUAAAACACHTuJACaOme7wAAADb&#10;AAAADwAAAGRycy9kb3ducmV2LnhtbEWPTYvCQAyG7wv+hyGCt3WqgqzVUVQQ9OBh3fUeO7EtdjK1&#10;M9aPX28OC3sMb94nT2aLh6tUS00oPRsY9BNQxJm3JecGfn82n1+gQkS2WHkmA08KsJh3PmaYWn/n&#10;b2oPMVcC4ZCigSLGOtU6ZAU5DH1fE0t29o3DKGOTa9vgXeCu0sMkGWuHJcuFAmtaF5RdDjcnGu3x&#10;NJrEpQ9hfx6udi/cny5XY3rdQTIFFekR/5f/2ltrYCT28osAQM/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jpnu8AAAA&#10;2wAAAA8AAAAAAAAAAQAgAAAAIgAAAGRycy9kb3ducmV2LnhtbFBLAQIUABQAAAAIAIdO4kAzLwWe&#10;OwAAADkAAAAQAAAAAAAAAAEAIAAAAAsBAABkcnMvc2hhcGV4bWwueG1sUEsFBgAAAAAGAAYAWwEA&#10;ALUDAAAAAA==&#10;">
                        <v:fill on="f" focussize="0,0"/>
                        <v:stroke on="f" weight="1pt"/>
                        <v:imagedata o:title=""/>
                        <o:lock v:ext="edit" aspectratio="f"/>
                        <v:textbox>
                          <w:txbxContent>
                            <w:p>
                              <w:pPr>
                                <w:pStyle w:val="20"/>
                                <w:rPr>
                                  <w:szCs w:val="21"/>
                                </w:rPr>
                              </w:pPr>
                              <w:r>
                                <w:rPr>
                                  <w:rFonts w:hint="eastAsia"/>
                                  <w:szCs w:val="21"/>
                                </w:rPr>
                                <w:t>土壤扰动</w:t>
                              </w:r>
                            </w:p>
                          </w:txbxContent>
                        </v:textbox>
                      </v:shape>
                      <v:shape id="_x0000_s1026" o:spid="_x0000_s1026" o:spt="202" type="#_x0000_t202" style="position:absolute;left:8186;top:398092;height:688;width:1790;" filled="f" stroked="f" coordsize="21600,21600" o:gfxdata="UEsDBAoAAAAAAIdO4kAAAAAAAAAAAAAAAAAEAAAAZHJzL1BLAwQUAAAACACHTuJAZu8D4L0AAADb&#10;AAAADwAAAGRycy9kb3ducmV2LnhtbEWPS4vCQBCE7wv+h6EFb+skCssaM4ouCHrw4OveZjoPzPRk&#10;M2PU/fWOIOyxqK6vutL53dSio9ZVlhXEwwgEcWZ1xYWC42H1+Q3CeWSNtWVS8CAH81nvI8VE2xvv&#10;qNv7QgQIuwQVlN43iZQuK8mgG9qGOHi5bQ36INtC6hZvAW5qOYqiL2mw4tBQYkM/JWWX/dWEN7rT&#10;eTzxC+vcNh8tN3+4PV9+lRr042gKwtPd/x+/02utYBzDa0sAgJ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7wPg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施工机械废气</w:t>
                              </w:r>
                            </w:p>
                            <w:p>
                              <w:pPr>
                                <w:pStyle w:val="20"/>
                                <w:rPr>
                                  <w:szCs w:val="21"/>
                                </w:rPr>
                              </w:pPr>
                              <w:r>
                                <w:rPr>
                                  <w:rFonts w:hint="eastAsia"/>
                                  <w:szCs w:val="21"/>
                                </w:rPr>
                                <w:t>运输车辆尾气</w:t>
                              </w:r>
                            </w:p>
                          </w:txbxContent>
                        </v:textbox>
                      </v:shape>
                      <v:shape id="_x0000_s1026" o:spid="_x0000_s1026" o:spt="202" type="#_x0000_t202" style="position:absolute;left:4883;top:397954;height:445;width:1170;" filled="f" stroked="f" coordsize="21600,21600" o:gfxdata="UEsDBAoAAAAAAIdO4kAAAAAAAAAAAAAAAAAEAAAAZHJzL1BLAwQUAAAACACHTuJAlj2dl7wAAADb&#10;AAAADwAAAGRycy9kb3ducmV2LnhtbEWPS4vCQBCE74L/YWhhbzoxgmh0FBUW1oMHX/c20ybBTE/M&#10;zMbHr3cEwWNRXV91Ted3U4qGaldYVtDvRSCIU6sLzhQc9r/dEQjnkTWWlknBgxzMZ+3WFBNtb7yl&#10;ZuczESDsElSQe18lUro0J4OuZyvi4J1tbdAHWWdS13gLcFPKOIqG0mDBoSHHilY5pZfdvwlvNMfT&#10;YOwX1rnNOV6un7g5Xa5K/XT60QSEp7v/Hn/Sf1rBIIb3lgA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9nZe8AAAA&#10;2wAAAA8AAAAAAAAAAQAgAAAAIgAAAGRycy9kb3ducmV2LnhtbFBLAQIUABQAAAAIAIdO4kAzLwWe&#10;OwAAADkAAAAQAAAAAAAAAAEAIAAAAAsBAABkcnMvc2hhcGV4bWwueG1sUEsFBgAAAAAGAAYAWwEA&#10;ALUDAAAAAA==&#10;">
                        <v:fill on="f" focussize="0,0"/>
                        <v:stroke on="f" weight="1pt"/>
                        <v:imagedata o:title=""/>
                        <o:lock v:ext="edit" aspectratio="f"/>
                        <v:textbox>
                          <w:txbxContent>
                            <w:p>
                              <w:pPr>
                                <w:pStyle w:val="20"/>
                                <w:jc w:val="both"/>
                              </w:pPr>
                              <w:r>
                                <w:rPr>
                                  <w:rFonts w:hint="eastAsia"/>
                                  <w:szCs w:val="21"/>
                                </w:rPr>
                                <w:t>生态影响</w:t>
                              </w:r>
                            </w:p>
                          </w:txbxContent>
                        </v:textbox>
                      </v:shape>
                      <v:shape id="_x0000_s1026" o:spid="_x0000_s1026" o:spt="202" type="#_x0000_t202" style="position:absolute;left:6111;top:398020;height:701;width:1212;" filled="f" stroked="t" coordsize="21600,21600" o:gfxdata="UEsDBAoAAAAAAIdO4kAAAAAAAAAAAAAAAAAEAAAAZHJzL1BLAwQUAAAACACHTuJAhy4Jj70AAADb&#10;AAAADwAAAGRycy9kb3ducmV2LnhtbEWPwWrDMBBE74X+g9hAb42cOC3GjRJKi6GXEOr0A7bWxjKx&#10;VkZSE/vvq0Agx2Fm3jDr7Wh7cSYfOscKFvMMBHHjdMetgp9D9VyACBFZY++YFEwUYLt5fFhjqd2F&#10;v+lcx1YkCIcSFZgYh1LK0BiyGOZuIE7e0XmLMUnfSu3xkuC2l8sse5UWO04LBgf6MNSc6j+rYFxO&#10;pspd8/m+qs103Be/1e7FK/U0W2RvICKN8R6+tb+0gjyH65f0A+T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LgmP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textbox>
                          <w:txbxContent>
                            <w:p>
                              <w:pPr>
                                <w:pStyle w:val="20"/>
                              </w:pPr>
                              <w:r>
                                <w:rPr>
                                  <w:rFonts w:hint="eastAsia"/>
                                  <w:szCs w:val="21"/>
                                </w:rPr>
                                <w:t>井场、道路建设</w:t>
                              </w:r>
                            </w:p>
                          </w:txbxContent>
                        </v:textbox>
                      </v:shape>
                      <v:shape id="_x0000_s1026" o:spid="_x0000_s1026" o:spt="202" type="#_x0000_t202" style="position:absolute;left:6127;top:399351;height:476;width:1212;" filled="f" stroked="t" coordsize="21600,21600" o:gfxdata="UEsDBAoAAAAAAIdO4kAAAAAAAAAAAAAAAAAEAAAAZHJzL1BLAwQUAAAACACHTuJACMeR+70AAADb&#10;AAAADwAAAGRycy9kb3ducmV2LnhtbEWP3WoCMRSE7wt9h3AK3tWsPxXZGkWUBW+KdO0DnG6Om6Wb&#10;kyWJuvv2jSB4OczMN8xq09tWXMmHxrGCyTgDQVw53XCt4OdUvC9BhIissXVMCgYKsFm/vqww1+7G&#10;33QtYy0ShEOOCkyMXS5lqAxZDGPXESfv7LzFmKSvpfZ4S3DbymmWLaTFhtOCwY52hqq/8mIV9NPB&#10;FDNX7bfz0gzn4/K3+PrwSo3eJtkniEh9fIYf7YNWMJvD/Uv6AXL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x5H7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textbox>
                          <w:txbxContent>
                            <w:p>
                              <w:pPr>
                                <w:pStyle w:val="20"/>
                                <w:rPr>
                                  <w:szCs w:val="21"/>
                                </w:rPr>
                              </w:pPr>
                              <w:r>
                                <w:rPr>
                                  <w:rFonts w:hint="eastAsia"/>
                                  <w:szCs w:val="21"/>
                                </w:rPr>
                                <w:t>生活营地</w:t>
                              </w:r>
                            </w:p>
                          </w:txbxContent>
                        </v:textbox>
                      </v:shape>
                      <v:line id="_x0000_s1026" o:spid="_x0000_s1026" o:spt="20" style="position:absolute;left:7347;top:399586;height:1;width:708;" filled="f" stroked="t" coordsize="21600,21600" o:gfxdata="UEsDBAoAAAAAAIdO4kAAAAAAAAAAAAAAAAAEAAAAZHJzL1BLAwQUAAAACACHTuJA5N3L9L4AAADb&#10;AAAADwAAAGRycy9kb3ducmV2LnhtbEWPT2sCMRTE7wW/Q3gFL0UTFYusRhFBrFAoWi/enslzd+nm&#10;Zd2k/umnN0LB4zAzv2Ems6urxJmaUHrW0OsqEMTG25JzDbvvZWcEIkRki5Vn0nCjALNp62WCmfUX&#10;3tB5G3ORIBwy1FDEWGdSBlOQw9D1NXHyjr5xGJNscmkbvCS4q2RfqXfpsOS0UGBNi4LMz/bXaZh/&#10;moP7qsmo1Xq/PC5Ow7c/Xmvdfu2pMYhI1/gM/7c/rIbBEB5f0g+Q0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N3L9L4A&#10;AADbAAAADwAAAAAAAAABACAAAAAiAAAAZHJzL2Rvd25yZXYueG1sUEsBAhQAFAAAAAgAh07iQDMv&#10;BZ47AAAAOQAAABAAAAAAAAAAAQAgAAAADQEAAGRycy9zaGFwZXhtbC54bWxQSwUGAAAAAAYABgBb&#10;AQAAtwMAAAAA&#10;">
                        <v:fill on="f" focussize="0,0"/>
                        <v:stroke weight="1pt" color="#000000" joinstyle="round" dashstyle="dash" endarrow="block"/>
                        <v:imagedata o:title=""/>
                        <o:lock v:ext="edit" aspectratio="f"/>
                      </v:line>
                      <v:line id="_x0000_s1026" o:spid="_x0000_s1026" o:spt="20" style="position:absolute;left:8042;top:397821;height:0;width:373;" filled="f" stroked="t" coordsize="21600,21600" o:gfxdata="UEsDBAoAAAAAAIdO4kAAAAAAAAAAAAAAAAAEAAAAZHJzL1BLAwQUAAAACACHTuJAFA9Vg78AAADb&#10;AAAADwAAAGRycy9kb3ducmV2LnhtbEWPW2sCMRSE3wv+h3AEX4omViqy3SgiSBWEUvWlb6fJ2Qvd&#10;nKybeGl/vSkU+jjMzDdMvri5RlyoC7VnDeORAkFsvK251HA8rIczECEiW2w8k4ZvCrCY9x5yzKy/&#10;8jtd9rEUCcIhQw1VjG0mZTAVOQwj3xInr/Cdw5hkV0rb4TXBXSOflJpKhzWnhQpbWlVkvvZnp2G5&#10;M5/urSWjXrcf62J1en784a3Wg/5YvYCIdIv/4b/2xmqYTOH3S/oBcn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PVYO/&#10;AAAA2wAAAA8AAAAAAAAAAQAgAAAAIgAAAGRycy9kb3ducmV2LnhtbFBLAQIUABQAAAAIAIdO4kAz&#10;LwWeOwAAADkAAAAQAAAAAAAAAAEAIAAAAA4BAABkcnMvc2hhcGV4bWwueG1sUEsFBgAAAAAGAAYA&#10;WwEAALgDAAAAAA==&#10;">
                        <v:fill on="f" focussize="0,0"/>
                        <v:stroke weight="1pt" color="#000000" joinstyle="round" dashstyle="dash" endarrow="block"/>
                        <v:imagedata o:title=""/>
                        <o:lock v:ext="edit" aspectratio="f"/>
                      </v:line>
                      <v:line id="_x0000_s1026" o:spid="_x0000_s1026" o:spt="20" style="position:absolute;left:8051;top:398387;height:0;width:373;" filled="f" stroked="t" coordsize="21600,21600" o:gfxdata="UEsDBAoAAAAAAIdO4kAAAAAAAAAAAAAAAAAEAAAAZHJzL1BLAwQUAAAACACHTuJAe0PwGL8AAADb&#10;AAAADwAAAGRycy9kb3ducmV2LnhtbEWPQWsCMRSE70L/Q3iFXqQmVrRlNUoRpApC6erF22vy3F3c&#10;vGw3qdr+eiMIHoeZ+YaZzM6uFkdqQ+VZQ7+nQBAbbysuNGw3i+c3ECEiW6w9k4Y/CjCbPnQmmFl/&#10;4i865rEQCcIhQw1ljE0mZTAlOQw93xAnb+9bhzHJtpC2xVOCu1q+KDWSDitOCyU2NC/JHPJfp+F9&#10;bb7dZ0NGfax2i/38Z9j955XWT499NQYR6Rzv4Vt7aTUMXuH6Jf0AOb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tD8Bi/&#10;AAAA2wAAAA8AAAAAAAAAAQAgAAAAIgAAAGRycy9kb3ducmV2LnhtbFBLAQIUABQAAAAIAIdO4kAz&#10;LwWeOwAAADkAAAAQAAAAAAAAAAEAIAAAAA4BAABkcnMvc2hhcGV4bWwueG1sUEsFBgAAAAAGAAYA&#10;WwEAALgDAAAAAA==&#10;">
                        <v:fill on="f" focussize="0,0"/>
                        <v:stroke weight="1pt" color="#000000" joinstyle="round" dashstyle="dash" endarrow="block"/>
                        <v:imagedata o:title=""/>
                        <o:lock v:ext="edit" aspectratio="f"/>
                      </v:line>
                      <v:line id="_x0000_s1026" o:spid="_x0000_s1026" o:spt="20" style="position:absolute;left:7325;top:398380;height:1;width:708;" filled="f" stroked="t" coordsize="21600,21600" o:gfxdata="UEsDBAoAAAAAAIdO4kAAAAAAAAAAAAAAAAAEAAAAZHJzL1BLAwQUAAAACACHTuJACtxkarsAAADb&#10;AAAADwAAAGRycy9kb3ducmV2LnhtbEVPy2oCMRTdF/yHcAU3oomKIlOjFEFUKIiPTXe3yXVm6ORm&#10;OonPr28WQpeH854t7q4SV2pC6VnDoK9AEBtvS841nI6r3hREiMgWK8+k4UEBFvPW2wwz62+8p+sh&#10;5iKFcMhQQxFjnUkZTEEOQ9/XxIk7+8ZhTLDJpW3wlsJdJYdKTaTDklNDgTUtCzI/h4vT8PFpvt2u&#10;JqPW26/Vefk77j55q3WnPVDvICLd47/45d5YDaM0Nn1JP0DO/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txkarsAAADb&#10;AAAADwAAAAAAAAABACAAAAAiAAAAZHJzL2Rvd25yZXYueG1sUEsBAhQAFAAAAAgAh07iQDMvBZ47&#10;AAAAOQAAABAAAAAAAAAAAQAgAAAACgEAAGRycy9zaGFwZXhtbC54bWxQSwUGAAAAAAYABgBbAQAA&#10;tAMAAAAA&#10;">
                        <v:fill on="f" focussize="0,0"/>
                        <v:stroke weight="1pt" color="#000000" joinstyle="round" dashstyle="dash" endarrow="block"/>
                        <v:imagedata o:title=""/>
                        <o:lock v:ext="edit" aspectratio="f"/>
                      </v:line>
                      <v:line id="_x0000_s1026" o:spid="_x0000_s1026" o:spt="20" style="position:absolute;left:8024;top:397820;flip:x;height:1142;width:8;" filled="f" stroked="t" coordsize="21600,21600" o:gfxdata="UEsDBAoAAAAAAIdO4kAAAAAAAAAAAAAAAAAEAAAAZHJzL1BLAwQUAAAACACHTuJAeglDjbwAAADb&#10;AAAADwAAAGRycy9kb3ducmV2LnhtbEWPQWsCMRSE7wX/Q3hCbzVZC6JbowdRUIoH7V56e2xed7fd&#10;vKxJXO2/N4LgcZiZb5j58mpb0ZMPjWMN2UiBIC6dabjSUHxt3qYgQkQ22DomDf8UYLkYvMwxN+7C&#10;B+qPsRIJwiFHDXWMXS5lKGuyGEauI07ej/MWY5K+ksbjJcFtK8dKTaTFhtNCjR2tair/jmebKJn6&#10;5b3k2bjZfa991RfF52mt9eswUx8gIl3jM/xob42G9xncv6QfIB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JQ428AAAA&#10;2wAAAA8AAAAAAAAAAQAgAAAAIgAAAGRycy9kb3ducmV2LnhtbFBLAQIUABQAAAAIAIdO4kAzLwWe&#10;OwAAADkAAAAQAAAAAAAAAAEAIAAAAAsBAABkcnMvc2hhcGV4bWwueG1sUEsFBgAAAAAGAAYAWwEA&#10;ALUDAAAAAA==&#10;">
                        <v:fill on="f" focussize="0,0"/>
                        <v:stroke weight="1pt" color="#000000" joinstyle="round" dashstyle="dash"/>
                        <v:imagedata o:title=""/>
                        <o:lock v:ext="edit" aspectratio="f"/>
                      </v:line>
                      <v:line id="_x0000_s1026" o:spid="_x0000_s1026" o:spt="20" style="position:absolute;left:8034;top:398950;height:0;width:373;" filled="f" stroked="t" coordsize="21600,21600" o:gfxdata="UEsDBAoAAAAAAIdO4kAAAAAAAAAAAAAAAAAEAAAAZHJzL1BLAwQUAAAACACHTuJArKwbEbsAAADb&#10;AAAADwAAAGRycy9kb3ducmV2LnhtbEVPy2oCMRTdF/yHcAU3oomiIlOjFEFUKIiPTXe3yXVm6ORm&#10;OonPr28WQpeH854t7q4SV2pC6VnDoK9AEBtvS841nI6r3hREiMgWK8+k4UEBFvPW2wwz62+8p+sh&#10;5iKFcMhQQxFjnUkZTEEOQ9/XxIk7+8ZhTLDJpW3wlsJdJYdKTaTDklNDgTUtCzI/h4vT8PFpvt2u&#10;JqPW26/Vefk77j55q3WnPVDvICLd47/45d5YDaO0Pn1JP0DO/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KwbEbsAAADb&#10;AAAADwAAAAAAAAABACAAAAAiAAAAZHJzL2Rvd25yZXYueG1sUEsBAhQAFAAAAAgAh07iQDMvBZ47&#10;AAAAOQAAABAAAAAAAAAAAQAgAAAACgEAAGRycy9zaGFwZXhtbC54bWxQSwUGAAAAAAYABgBbAQAA&#10;tAMAAAAA&#10;">
                        <v:fill on="f" focussize="0,0"/>
                        <v:stroke weight="1pt" color="#000000" joinstyle="round" dashstyle="dash" endarrow="block"/>
                        <v:imagedata o:title=""/>
                        <o:lock v:ext="edit" aspectratio="f"/>
                      </v:line>
                      <v:shape id="_x0000_s1026" o:spid="_x0000_s1026" o:spt="202" type="#_x0000_t202" style="position:absolute;left:8424;top:397635;height:435;width:1212;" filled="f" stroked="f" coordsize="21600,21600" o:gfxdata="UEsDBAoAAAAAAIdO4kAAAAAAAAAAAAAAAAAEAAAAZHJzL1BLAwQUAAAACACHTuJAPulwnb0AAADb&#10;AAAADwAAAGRycy9kb3ducmV2LnhtbEWPQYvCMBCF74L/IYzgzaZVkbUaxV1Y0IMHXb2PzdgWm0lt&#10;slX3128EwePjzfvevPnybirRUuNKywqSKAZBnFldcq7g8PM9+ADhPLLGyjIpeJCD5aLbmWOq7Y13&#10;1O59LgKEXYoKCu/rVEqXFWTQRbYmDt7ZNgZ9kE0udYO3ADeVHMbxRBosOTQUWNNXQdll/2vCG+3x&#10;NJr6lXVuex5+bv5we7pcler3kngGwtPdv49f6bVWME7guSUA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XCd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扬尘</w:t>
                              </w:r>
                            </w:p>
                          </w:txbxContent>
                        </v:textbox>
                      </v:shape>
                      <v:shape id="_x0000_s1026" o:spid="_x0000_s1026" o:spt="202" type="#_x0000_t202" style="position:absolute;left:8496;top:398713;height:435;width:1212;" filled="f" stroked="f" coordsize="21600,21600" o:gfxdata="UEsDBAoAAAAAAIdO4kAAAAAAAAAAAAAAAAAEAAAAZHJzL1BLAwQUAAAACACHTuJAzjvu6r0AAADb&#10;AAAADwAAAGRycy9kb3ducmV2LnhtbEWPQYvCMBCF74L/IYzgzaZWkbUaRQVBDx7W3b2PzdgWm0lt&#10;YtX99ZsFwePjzfvevPnyYSrRUuNKywqGUQyCOLO65FzB99d28AHCeWSNlWVS8CQHy0W3M8dU2zt/&#10;Unv0uQgQdikqKLyvUyldVpBBF9maOHhn2xj0QTa51A3eA9xUMonjiTRYcmgosKZNQdnleDPhjfbn&#10;NJr6lXXucE7W+188nC5Xpfq9YTwD4enh38ev9E4rGCfwvyUA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O+7q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噪声</w:t>
                              </w:r>
                            </w:p>
                          </w:txbxContent>
                        </v:textbox>
                      </v:shape>
                      <v:line id="_x0000_s1026" o:spid="_x0000_s1026" o:spt="20" style="position:absolute;left:5457;top:399566;height:1;width:664;" filled="f" stroked="t" coordsize="21600,21600" o:gfxdata="UEsDBAoAAAAAAIdO4kAAAAAAAAAAAAAAAAAEAAAAZHJzL1BLAwQUAAAACACHTuJApXbKobwAAADb&#10;AAAADwAAAGRycy9kb3ducmV2LnhtbEWPwWrDMBBE74X8g9hAL6WRY4xJnSghBFJyrVua68baWqbW&#10;SlhK7Px9VSj0OMzMG2azm2wvbjSEzrGC5SIDQdw43XGr4OP9+LwCESKyxt4xKbhTgN129rDBSruR&#10;3+hWx1YkCIcKFZgYfSVlaAxZDAvniZP35QaLMcmhlXrAMcFtL/MsK6XFjtOCQU8HQ813fbUKJj76&#10;l9JRfs4vB+Np/2rj06dSj/NltgYRaYr/4b/2SSsoCvj9kn6A3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V2yqG8AAAA&#10;2wAAAA8AAAAAAAAAAQAgAAAAIgAAAGRycy9kb3ducmV2LnhtbFBLAQIUABQAAAAIAIdO4kAzLwWe&#10;OwAAADkAAAAQAAAAAAAAAAEAIAAAAAsBAABkcnMvc2hhcGV4bWwueG1sUEsFBgAAAAAGAAYAWwEA&#10;ALUDAAAAAA==&#10;">
                        <v:fill on="f" focussize="0,0"/>
                        <v:stroke weight="1pt" color="#000000" joinstyle="round" dashstyle="dash"/>
                        <v:imagedata o:title=""/>
                        <o:lock v:ext="edit" aspectratio="f"/>
                      </v:line>
                      <v:line id="_x0000_s1026" o:spid="_x0000_s1026" o:spt="20" style="position:absolute;left:5440;top:398401;height:1202;width:19;" filled="f" stroked="t" coordsize="21600,21600" o:gfxdata="UEsDBAoAAAAAAIdO4kAAAAAAAAAAAAAAAAAEAAAAZHJzL1BLAwQUAAAACACHTuJAoYsZ9b0AAADb&#10;AAAADwAAAGRycy9kb3ducmV2LnhtbEWPW2sCMRSE3wX/QzgF32qi1LpdjSJCQfRB1O37cXP2Qjcn&#10;yybe/r0pFHwcZuYbZr6820ZcqfO1Yw2joQJBnDtTc6khO32/JyB8QDbYOCYND/KwXPR7c0yNu/GB&#10;rsdQighhn6KGKoQ2ldLnFVn0Q9cSR69wncUQZVdK0+Etwm0jx0p9Sos1x4UKW1pXlP8eL1bD9rz/&#10;2iQ7t1Ku2G+TxzT7WReZ1oO3kZqBCHQPr/B/e2M0fEzg70v8AX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ixn1vQAA&#10;ANsAAAAPAAAAAAAAAAEAIAAAACIAAABkcnMvZG93bnJldi54bWxQSwECFAAUAAAACACHTuJAMy8F&#10;njsAAAA5AAAAEAAAAAAAAAABACAAAAAMAQAAZHJzL3NoYXBleG1sLnhtbFBLBQYAAAAABgAGAFsB&#10;AAC2AwAAAAA=&#10;">
                        <v:fill on="f" focussize="0,0"/>
                        <v:stroke weight="1pt" color="#000000" joinstyle="round" dashstyle="dash" startarrow="block"/>
                        <v:imagedata o:title=""/>
                        <o:lock v:ext="edit" aspectratio="f"/>
                      </v:line>
                      <v:line id="_x0000_s1026" o:spid="_x0000_s1026" o:spt="20" style="position:absolute;left:8053;top:399346;height:522;width:3;" filled="f" stroked="t" coordsize="21600,21600" o:gfxdata="UEsDBAoAAAAAAIdO4kAAAAAAAAAAAAAAAAAEAAAAZHJzL1BLAwQUAAAACACHTuJAOujxTbsAAADb&#10;AAAADwAAAGRycy9kb3ducmV2LnhtbEWPQWvCQBSE74L/YXmCF6kbgwSbZiMiWHrVir2+Zl+zwezb&#10;JbvV+O+7hUKPw8x8w1Tb0fbiRkPoHCtYLTMQxI3THbcKzu+Hpw2IEJE19o5JwYMCbOvppMJSuzsf&#10;6XaKrUgQDiUqMDH6UsrQGLIYls4TJ+/LDRZjkkMr9YD3BLe9zLOskBY7TgsGPe0NNdfTt1Uw8sE/&#10;F47yj/xzbzztXm1cXJSaz1bZC4hIY/wP/7XftIJ1Ab9f0g+Q9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ujxTbsAAADb&#10;AAAADwAAAAAAAAABACAAAAAiAAAAZHJzL2Rvd25yZXYueG1sUEsBAhQAFAAAAAgAh07iQDMvBZ47&#10;AAAAOQAAABAAAAAAAAAAAQAgAAAACgEAAGRycy9zaGFwZXhtbC54bWxQSwUGAAAAAAYABgBbAQAA&#10;tAMAAAAA&#10;">
                        <v:fill on="f" focussize="0,0"/>
                        <v:stroke weight="1pt" color="#000000" joinstyle="round" dashstyle="dash"/>
                        <v:imagedata o:title=""/>
                        <o:lock v:ext="edit" aspectratio="f"/>
                      </v:line>
                      <v:line id="_x0000_s1026" o:spid="_x0000_s1026" o:spt="20" style="position:absolute;left:8066;top:399362;height:0;width:373;" filled="f" stroked="t" coordsize="21600,21600" o:gfxdata="UEsDBAoAAAAAAIdO4kAAAAAAAAAAAAAAAAAEAAAAZHJzL1BLAwQUAAAACACHTuJAI0WDZb8AAADb&#10;AAAADwAAAGRycy9kb3ducmV2LnhtbEWPQWsCMRSE70L/Q3iFXqQmFrVlNUoRpApC6erF22vy3F3c&#10;vGw3qdr+eiMIHoeZ+YaZzM6uFkdqQ+VZQ7+nQBAbbysuNGw3i+c3ECEiW6w9k4Y/CjCbPnQmmFl/&#10;4i865rEQCcIhQw1ljE0mZTAlOQw93xAnb+9bhzHJtpC2xVOCu1q+KDWSDitOCyU2NC/JHPJfp+F9&#10;bb7dZ0NGfax2i/38Z9j955XWT499NQYR6Rzv4Vt7aTUMXuH6Jf0AOb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NFg2W/&#10;AAAA2wAAAA8AAAAAAAAAAQAgAAAAIgAAAGRycy9kb3ducmV2LnhtbFBLAQIUABQAAAAIAIdO4kAz&#10;LwWeOwAAADkAAAAQAAAAAAAAAAEAIAAAAA4BAABkcnMvc2hhcGV4bWwueG1sUEsFBgAAAAAGAAYA&#10;WwEAALgDAAAAAA==&#10;">
                        <v:fill on="f" focussize="0,0"/>
                        <v:stroke weight="1pt" color="#000000" joinstyle="round" dashstyle="dash" endarrow="block"/>
                        <v:imagedata o:title=""/>
                        <o:lock v:ext="edit" aspectratio="f"/>
                      </v:line>
                      <v:line id="_x0000_s1026" o:spid="_x0000_s1026" o:spt="20" style="position:absolute;left:8066;top:399867;height:0;width:373;" filled="f" stroked="t" coordsize="21600,21600" o:gfxdata="UEsDBAoAAAAAAIdO4kAAAAAAAAAAAAAAAAAEAAAAZHJzL1BLAwQUAAAACACHTuJAUtoXF7sAAADb&#10;AAAADwAAAGRycy9kb3ducmV2LnhtbEVPy2oCMRTdF/yHcAU3oomiIlOjFEFUKIiPTXe3yXVm6ORm&#10;OonPr28WQpeH854t7q4SV2pC6VnDoK9AEBtvS841nI6r3hREiMgWK8+k4UEBFvPW2wwz62+8p+sh&#10;5iKFcMhQQxFjnUkZTEEOQ9/XxIk7+8ZhTLDJpW3wlsJdJYdKTaTDklNDgTUtCzI/h4vT8PFpvt2u&#10;JqPW26/Vefk77j55q3WnPVDvICLd47/45d5YDaM0Nn1JP0DO/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toXF7sAAADb&#10;AAAADwAAAAAAAAABACAAAAAiAAAAZHJzL2Rvd25yZXYueG1sUEsBAhQAFAAAAAgAh07iQDMvBZ47&#10;AAAAOQAAABAAAAAAAAAAAQAgAAAACgEAAGRycy9zaGFwZXhtbC54bWxQSwUGAAAAAAYABgBbAQAA&#10;tAMAAAAA&#10;">
                        <v:fill on="f" focussize="0,0"/>
                        <v:stroke weight="1pt" color="#000000" joinstyle="round" dashstyle="dash" endarrow="block"/>
                        <v:imagedata o:title=""/>
                        <o:lock v:ext="edit" aspectratio="f"/>
                      </v:line>
                      <v:shape id="_x0000_s1026" o:spid="_x0000_s1026" o:spt="202" type="#_x0000_t202" style="position:absolute;left:8349;top:399122;height:435;width:1212;" filled="f" stroked="f" coordsize="21600,21600" o:gfxdata="UEsDBAoAAAAAAIdO4kAAAAAAAAAAAAAAAAAEAAAAZHJzL1BLAwQUAAAACACHTuJAwJ98m74AAADb&#10;AAAADwAAAGRycy9kb3ducmV2LnhtbEWPzW7CMBCE70h9B2srcQMHqCpIcSJaCYkeOPDT+xIvSUS8&#10;DrFJQp++RqrEcTQ73+ws095UoqXGlZYVTMYRCOLM6pJzBcfDejQH4TyyxsoyKbiTgzR5GSwx1rbj&#10;HbV7n4sAYRejgsL7OpbSZQUZdGNbEwfvbBuDPsgml7rBLsBNJadR9C4NlhwaCqzpq6Dssr+Z8Eb7&#10;c5ot/Mo6tz1PP79/cXu6XJUavk6iDxCeev88/k9vtIK3BTy2BADI5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J98m74A&#10;AADbAAAADwAAAAAAAAABACAAAAAiAAAAZHJzL2Rvd25yZXYueG1sUEsBAhQAFAAAAAgAh07iQDMv&#10;BZ47AAAAOQAAABAAAAAAAAAAAQAgAAAADQEAAGRycy9zaGFwZXhtbC54bWxQSwUGAAAAAAYABgBb&#10;AQAAtwMAAAAA&#10;">
                        <v:fill on="f" focussize="0,0"/>
                        <v:stroke on="f" weight="1pt"/>
                        <v:imagedata o:title=""/>
                        <o:lock v:ext="edit" aspectratio="f"/>
                        <v:textbox>
                          <w:txbxContent>
                            <w:p>
                              <w:pPr>
                                <w:pStyle w:val="20"/>
                                <w:rPr>
                                  <w:szCs w:val="21"/>
                                </w:rPr>
                              </w:pPr>
                              <w:r>
                                <w:rPr>
                                  <w:rFonts w:hint="eastAsia"/>
                                  <w:szCs w:val="21"/>
                                </w:rPr>
                                <w:t>生活污水</w:t>
                              </w:r>
                            </w:p>
                          </w:txbxContent>
                        </v:textbox>
                      </v:shape>
                      <v:shape id="_x0000_s1026" o:spid="_x0000_s1026" o:spt="202" type="#_x0000_t202" style="position:absolute;left:8358;top:399649;height:435;width:1212;" filled="f" stroked="f" coordsize="21600,21600" o:gfxdata="UEsDBAoAAAAAAIdO4kAAAAAAAAAAAAAAAAAEAAAAZHJzL1BLAwQUAAAACACHTuJA1HxD270AAADb&#10;AAAADwAAAGRycy9kb3ducmV2LnhtbEWPTW/CMAyG75P4D5GRuI0U0CYoBMSQkNiBwxjc3cb9EI3T&#10;NaGw/fr5MGlH6/X7+PFq83CN6qkLtWcDk3ECijj3tubSwPlz/zwHFSKyxcYzGfimAJv14GmFqfV3&#10;/qD+FEslEA4pGqhibFOtQ16RwzD2LbFkhe8cRhm7UtsO7wJ3jZ4myat2WLNcqLClXUX59XRzotFf&#10;stkibn0Ix2L69v6Dx+z6ZcxoOEmWoCI94v/yX/tgDbyIvfwiAN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fEPbvQAA&#10;ANsAAAAPAAAAAAAAAAEAIAAAACIAAABkcnMvZG93bnJldi54bWxQSwECFAAUAAAACACHTuJAMy8F&#10;njsAAAA5AAAAEAAAAAAAAAABACAAAAAMAQAAZHJzL3NoYXBleG1sLnhtbFBLBQYAAAAABgAGAFsB&#10;AAC2AwAAAAA=&#10;">
                        <v:fill on="f" focussize="0,0"/>
                        <v:stroke on="f" weight="1pt"/>
                        <v:imagedata o:title=""/>
                        <o:lock v:ext="edit" aspectratio="f"/>
                        <v:textbox>
                          <w:txbxContent>
                            <w:p>
                              <w:pPr>
                                <w:pStyle w:val="20"/>
                                <w:rPr>
                                  <w:szCs w:val="21"/>
                                </w:rPr>
                              </w:pPr>
                              <w:r>
                                <w:rPr>
                                  <w:rFonts w:hint="eastAsia"/>
                                  <w:szCs w:val="21"/>
                                </w:rPr>
                                <w:t>生活垃圾</w:t>
                              </w:r>
                            </w:p>
                          </w:txbxContent>
                        </v:textbox>
                      </v:shape>
                    </v:group>
                  </w:pict>
                </mc:Fallback>
              </mc:AlternateContent>
            </w:r>
          </w:p>
          <w:p>
            <w:pPr>
              <w:pStyle w:val="11"/>
              <w:ind w:firstLine="400"/>
            </w:pPr>
          </w:p>
          <w:p>
            <w:pPr>
              <w:ind w:firstLine="480"/>
            </w:pPr>
          </w:p>
          <w:p>
            <w:pPr>
              <w:pStyle w:val="11"/>
              <w:ind w:firstLine="400"/>
            </w:pPr>
          </w:p>
          <w:p>
            <w:pPr>
              <w:ind w:firstLine="480"/>
            </w:pPr>
          </w:p>
          <w:p>
            <w:pPr>
              <w:pStyle w:val="11"/>
              <w:ind w:firstLine="400"/>
            </w:pPr>
          </w:p>
          <w:p>
            <w:pPr>
              <w:ind w:firstLine="420"/>
              <w:jc w:val="left"/>
              <w:rPr>
                <w:b/>
                <w:sz w:val="21"/>
                <w:szCs w:val="21"/>
              </w:rPr>
            </w:pPr>
            <w:r>
              <w:rPr>
                <w:sz w:val="21"/>
              </w:rPr>
              <mc:AlternateContent>
                <mc:Choice Requires="wpg">
                  <w:drawing>
                    <wp:anchor distT="0" distB="0" distL="114300" distR="114300" simplePos="0" relativeHeight="251706368" behindDoc="0" locked="0" layoutInCell="1" allowOverlap="1">
                      <wp:simplePos x="0" y="0"/>
                      <wp:positionH relativeFrom="column">
                        <wp:posOffset>3303905</wp:posOffset>
                      </wp:positionH>
                      <wp:positionV relativeFrom="paragraph">
                        <wp:posOffset>72390</wp:posOffset>
                      </wp:positionV>
                      <wp:extent cx="250825" cy="341630"/>
                      <wp:effectExtent l="6350" t="37465" r="9525" b="40005"/>
                      <wp:wrapNone/>
                      <wp:docPr id="9" name="组合 9"/>
                      <wp:cNvGraphicFramePr/>
                      <a:graphic xmlns:a="http://schemas.openxmlformats.org/drawingml/2006/main">
                        <a:graphicData uri="http://schemas.microsoft.com/office/word/2010/wordprocessingGroup">
                          <wpg:wgp>
                            <wpg:cNvGrpSpPr/>
                            <wpg:grpSpPr>
                              <a:xfrm>
                                <a:off x="0" y="0"/>
                                <a:ext cx="250825" cy="341630"/>
                                <a:chOff x="7656" y="402166"/>
                                <a:chExt cx="395" cy="538"/>
                              </a:xfrm>
                            </wpg:grpSpPr>
                            <wps:wsp>
                              <wps:cNvPr id="6" name="直接连接符 6"/>
                              <wps:cNvCnPr/>
                              <wps:spPr>
                                <a:xfrm>
                                  <a:off x="7672" y="402167"/>
                                  <a:ext cx="373" cy="0"/>
                                </a:xfrm>
                                <a:prstGeom prst="line">
                                  <a:avLst/>
                                </a:prstGeom>
                                <a:ln w="12700" cap="flat" cmpd="sng">
                                  <a:solidFill>
                                    <a:srgbClr val="000000"/>
                                  </a:solidFill>
                                  <a:prstDash val="dash"/>
                                  <a:headEnd type="none" w="med" len="med"/>
                                  <a:tailEnd type="triangle" w="med" len="med"/>
                                </a:ln>
                              </wps:spPr>
                              <wps:bodyPr/>
                            </wps:wsp>
                            <wps:wsp>
                              <wps:cNvPr id="7" name="直接连接符 7"/>
                              <wps:cNvCnPr/>
                              <wps:spPr>
                                <a:xfrm flipH="1">
                                  <a:off x="7656" y="402166"/>
                                  <a:ext cx="5" cy="538"/>
                                </a:xfrm>
                                <a:prstGeom prst="line">
                                  <a:avLst/>
                                </a:prstGeom>
                                <a:ln w="12700" cap="flat" cmpd="sng">
                                  <a:solidFill>
                                    <a:srgbClr val="000000"/>
                                  </a:solidFill>
                                  <a:prstDash val="dash"/>
                                  <a:headEnd type="none" w="med" len="med"/>
                                  <a:tailEnd type="none" w="med" len="med"/>
                                </a:ln>
                              </wps:spPr>
                              <wps:bodyPr/>
                            </wps:wsp>
                            <wps:wsp>
                              <wps:cNvPr id="8" name="直接连接符 8"/>
                              <wps:cNvCnPr/>
                              <wps:spPr>
                                <a:xfrm>
                                  <a:off x="7679" y="402695"/>
                                  <a:ext cx="373" cy="0"/>
                                </a:xfrm>
                                <a:prstGeom prst="line">
                                  <a:avLst/>
                                </a:prstGeom>
                                <a:ln w="12700" cap="flat" cmpd="sng">
                                  <a:solidFill>
                                    <a:srgbClr val="000000"/>
                                  </a:solidFill>
                                  <a:prstDash val="dash"/>
                                  <a:headEnd type="none" w="med" len="med"/>
                                  <a:tailEnd type="triangle" w="med" len="med"/>
                                </a:ln>
                              </wps:spPr>
                              <wps:bodyPr/>
                            </wps:wsp>
                          </wpg:wgp>
                        </a:graphicData>
                      </a:graphic>
                    </wp:anchor>
                  </w:drawing>
                </mc:Choice>
                <mc:Fallback>
                  <w:pict>
                    <v:group id="_x0000_s1026" o:spid="_x0000_s1026" o:spt="203" style="position:absolute;left:0pt;margin-left:260.15pt;margin-top:5.7pt;height:26.9pt;width:19.75pt;z-index:251706368;mso-width-relative:page;mso-height-relative:page;" coordorigin="7656,402166" coordsize="395,538" o:gfxdata="UEsDBAoAAAAAAIdO4kAAAAAAAAAAAAAAAAAEAAAAZHJzL1BLAwQUAAAACACHTuJAehqbEtkAAAAJ&#10;AQAADwAAAGRycy9kb3ducmV2LnhtbE2PUUvDMBSF3wX/Q7iCby5JZ4bWpkOG+jQEN2HsLWvu2rIm&#10;KU3Wbv/e65M+Xs7Hud8plhfXsRGH2AavQc4EMPRVsK2vNXxv3x+egMVkvDVd8KjhihGW5e1NYXIb&#10;Jv+F4ybVjEp8zI2GJqU+5zxWDToTZ6FHT9kxDM4kOoea28FMVO46ngmx4M60nj40psdVg9Vpc3Ya&#10;PiYzvc7l27g+HVfX/VZ97tYStb6/k+IFWMJL+oPhV5/UoSSnQzh7G1mnQWViTigF8hEYAUo905aD&#10;hoXKgJcF/7+g/AFQSwMEFAAAAAgAh07iQMdKpNvGAgAAGQkAAA4AAABkcnMvZTJvRG9jLnhtbO2W&#10;v2/UMBTHdyT+B8s7TS7XS9qouQ69UgYElQp/gOs4iSXHtmz3crczMCF2JDaYGNkY+Gug/Bk8O7k7&#10;WnpVBRJCiBtyjn88v/d5Xz/n4HDRCjRnxnIlCzzaiTFikqqSy7rAz589fLCHkXVElkQoyQq8ZBYf&#10;Tu/fO+h0zhLVKFEyg8CItHmnC9w4p/MosrRhLbE7SjMJg5UyLXHwauqoNKQD662IkjhOo06ZUhtF&#10;mbXQO+sH8WDR3MWgqipO2UzRi5ZJ11s1TBAHIdmGa4unwduqYtQ9rSrLHBIFhkhdeMIm0D73z2h6&#10;QPLaEN1wOrhA7uLCtZhawiVsujY1I46gC8N/MtVyapRVlduhqo36QAIRiGIUX2NzYtSFDrHUeVfr&#10;NXRI1DXqv2yWPpmfGsTLAu9jJEkLCb/89OLL65do37PpdJ3DlBOjz/SpGTrq/s2Hu6hM6/8hELQI&#10;VJdrqmzhEIXOZBLvJROMKAyNd0fpeKBOG0iNX5WlkxQjGN2Nk1Ga9jmhzfGwfrw/LJ6M9/xYtNo2&#10;8t6tnek06NFuINnfg3TWEM0Ce+sJDJDAzwHSm49fX7379vktPC8/vEfBa+8CzD2SAyqbW6B2A6cs&#10;zZJNxFkf8YrXOBv3sAKndbQk18a6E6Za5BsFFlx6B0lO5o+t68GspvhuIVEHBzzJYhA7JXBUKzgi&#10;0Gw1pNvKOiy2SvDyIRfCL7GmPj8SBs2JPy7hNxC/Ms3vMiO26eeV0OojaBgpj2WJ3FKDjiSUD+xd&#10;aFmJkWBQbXwLHCW5I1xsZjrDiazFltlAQEhIu6fb8/Stc1UuA+bQD4n3Yv0DCsi2KSBk8XYFoEpw&#10;/QhyEsgPZ+ZG9a+0sEX5/7AWtqvm79IB3JI3V4JQo27XgT8B6+xnUHj72pdCoQunY5X9/5Xgat24&#10;swLCzQA3ZrgshtvdX8k/voeKsvmimX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ehqbEtkAAAAJ&#10;AQAADwAAAAAAAAABACAAAAAiAAAAZHJzL2Rvd25yZXYueG1sUEsBAhQAFAAAAAgAh07iQMdKpNvG&#10;AgAAGQkAAA4AAAAAAAAAAQAgAAAAKAEAAGRycy9lMm9Eb2MueG1sUEsFBgAAAAAGAAYAWQEAAGAG&#10;AAAAAA==&#10;">
                      <o:lock v:ext="edit" aspectratio="f"/>
                      <v:line id="_x0000_s1026" o:spid="_x0000_s1026" o:spt="20" style="position:absolute;left:7672;top:402167;height:0;width:373;" filled="f" stroked="t" coordsize="21600,21600" o:gfxdata="UEsDBAoAAAAAAIdO4kAAAAAAAAAAAAAAAAAEAAAAZHJzL1BLAwQUAAAACACHTuJAEhzwxb0AAADa&#10;AAAADwAAAGRycy9kb3ducmV2LnhtbEWPT2sCMRTE70K/Q3gFL6KJglJWoxRBqiCItpfenslzd3Hz&#10;st2k/vv0RhA8DjPzG2Yyu7hKnKgJpWcN/Z4CQWy8LTnX8PO96H6ACBHZYuWZNFwpwGz61ppgZv2Z&#10;t3TaxVwkCIcMNRQx1pmUwRTkMPR8TZy8g28cxiSbXNoGzwnuKjlQaiQdlpwWCqxpXpA57v6dhs+1&#10;2btNTUZ9rX4Xh/nfsHPjldbt974ag4h0ia/ws720GkbwuJJugJ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HPDFvQAA&#10;ANoAAAAPAAAAAAAAAAEAIAAAACIAAABkcnMvZG93bnJldi54bWxQSwECFAAUAAAACACHTuJAMy8F&#10;njsAAAA5AAAAEAAAAAAAAAABACAAAAAMAQAAZHJzL3NoYXBleG1sLnhtbFBLBQYAAAAABgAGAFsB&#10;AAC2AwAAAAA=&#10;">
                        <v:fill on="f" focussize="0,0"/>
                        <v:stroke weight="1pt" color="#000000" joinstyle="round" dashstyle="dash" endarrow="block"/>
                        <v:imagedata o:title=""/>
                        <o:lock v:ext="edit" aspectratio="f"/>
                      </v:line>
                      <v:line id="_x0000_s1026" o:spid="_x0000_s1026" o:spt="20" style="position:absolute;left:7656;top:402166;flip:x;height:538;width:5;" filled="f" stroked="t" coordsize="21600,21600" o:gfxdata="UEsDBAoAAAAAAIdO4kAAAAAAAAAAAAAAAAAEAAAAZHJzL1BLAwQUAAAACACHTuJAs/gjALsAAADa&#10;AAAADwAAAGRycy9kb3ducmV2LnhtbEWPMW/CMBSEdyT+g/WQ2MAOAy0phgGBBKo6AFnYnuLXJG38&#10;HGwT6L+vKyF1PN3dd7rl+mFb0ZMPjWMN2VSBIC6dabjSUJx3k1cQISIbbB2Thh8KsF4NB0vMjbvz&#10;kfpTrESCcMhRQx1jl0sZyposhqnriJP36bzFmKSvpPF4T3DbyplSc2mx4bRQY0ebmsrv080mSqa+&#10;+EPyYtYcLltf9UXxft1qPR5l6g1EpEf8Dz/be6PhBf6upBs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gjALsAAADa&#10;AAAADwAAAAAAAAABACAAAAAiAAAAZHJzL2Rvd25yZXYueG1sUEsBAhQAFAAAAAgAh07iQDMvBZ47&#10;AAAAOQAAABAAAAAAAAAAAQAgAAAACgEAAGRycy9zaGFwZXhtbC54bWxQSwUGAAAAAAYABgBbAQAA&#10;tAMAAAAA&#10;">
                        <v:fill on="f" focussize="0,0"/>
                        <v:stroke weight="1pt" color="#000000" joinstyle="round" dashstyle="dash"/>
                        <v:imagedata o:title=""/>
                        <o:lock v:ext="edit" aspectratio="f"/>
                      </v:line>
                      <v:line id="_x0000_s1026" o:spid="_x0000_s1026" o:spt="20" style="position:absolute;left:7679;top:402695;height:0;width:373;" filled="f" stroked="t" coordsize="21600,21600" o:gfxdata="UEsDBAoAAAAAAIdO4kAAAAAAAAAAAAAAAAAEAAAAZHJzL1BLAwQUAAAACACHTuJADM/BLLkAAADa&#10;AAAADwAAAGRycy9kb3ducmV2LnhtbEVPy2oCMRTdC/2HcAU3ookFRUajiCCtIIjaTXfX5DozOLmZ&#10;TlJfX28WgsvDeU/nN1eJCzWh9Kxh0FcgiI23Jecafg6r3hhEiMgWK8+k4U4B5rOP1hQz66+8o8s+&#10;5iKFcMhQQxFjnUkZTEEOQ9/XxIk7+cZhTLDJpW3wmsJdJT+VGkmHJaeGAmtaFmTO+3+nYbExR7et&#10;yaiv9e/qtPwbdh+81rrTHqgJiEi3+Ba/3N9W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zPwSy5AAAA2gAA&#10;AA8AAAAAAAAAAQAgAAAAIgAAAGRycy9kb3ducmV2LnhtbFBLAQIUABQAAAAIAIdO4kAzLwWeOwAA&#10;ADkAAAAQAAAAAAAAAAEAIAAAAAgBAABkcnMvc2hhcGV4bWwueG1sUEsFBgAAAAAGAAYAWwEAALID&#10;AAAAAA==&#10;">
                        <v:fill on="f" focussize="0,0"/>
                        <v:stroke weight="1pt" color="#000000" joinstyle="round" dashstyle="dash" endarrow="block"/>
                        <v:imagedata o:title=""/>
                        <o:lock v:ext="edit" aspectratio="f"/>
                      </v:line>
                    </v:group>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2074545</wp:posOffset>
                      </wp:positionH>
                      <wp:positionV relativeFrom="paragraph">
                        <wp:posOffset>92075</wp:posOffset>
                      </wp:positionV>
                      <wp:extent cx="769620" cy="302895"/>
                      <wp:effectExtent l="6350" t="6350" r="24130" b="14605"/>
                      <wp:wrapNone/>
                      <wp:docPr id="12" name="文本框 12"/>
                      <wp:cNvGraphicFramePr/>
                      <a:graphic xmlns:a="http://schemas.openxmlformats.org/drawingml/2006/main">
                        <a:graphicData uri="http://schemas.microsoft.com/office/word/2010/wordprocessingShape">
                          <wps:wsp>
                            <wps:cNvSpPr txBox="1"/>
                            <wps:spPr>
                              <a:xfrm>
                                <a:off x="0" y="0"/>
                                <a:ext cx="769620" cy="302895"/>
                              </a:xfrm>
                              <a:prstGeom prst="rect">
                                <a:avLst/>
                              </a:prstGeom>
                              <a:noFill/>
                              <a:ln w="12700" cap="flat" cmpd="sng">
                                <a:solidFill>
                                  <a:srgbClr val="000000"/>
                                </a:solidFill>
                                <a:prstDash val="solid"/>
                                <a:miter/>
                                <a:headEnd type="none" w="med" len="med"/>
                                <a:tailEnd type="none" w="med" len="med"/>
                              </a:ln>
                            </wps:spPr>
                            <wps:txbx>
                              <w:txbxContent>
                                <w:p>
                                  <w:pPr>
                                    <w:pStyle w:val="20"/>
                                    <w:rPr>
                                      <w:szCs w:val="21"/>
                                    </w:rPr>
                                  </w:pPr>
                                  <w:r>
                                    <w:rPr>
                                      <w:rFonts w:hint="eastAsia"/>
                                      <w:szCs w:val="21"/>
                                    </w:rPr>
                                    <w:t>钻前作业</w:t>
                                  </w:r>
                                </w:p>
                              </w:txbxContent>
                            </wps:txbx>
                            <wps:bodyPr upright="1"/>
                          </wps:wsp>
                        </a:graphicData>
                      </a:graphic>
                    </wp:anchor>
                  </w:drawing>
                </mc:Choice>
                <mc:Fallback>
                  <w:pict>
                    <v:shape id="_x0000_s1026" o:spid="_x0000_s1026" o:spt="202" type="#_x0000_t202" style="position:absolute;left:0pt;margin-left:163.35pt;margin-top:7.25pt;height:23.85pt;width:60.6pt;z-index:251669504;mso-width-relative:page;mso-height-relative:page;" filled="f" stroked="t" coordsize="21600,21600" o:gfxdata="UEsDBAoAAAAAAIdO4kAAAAAAAAAAAAAAAAAEAAAAZHJzL1BLAwQUAAAACACHTuJAstS+BdcAAAAJ&#10;AQAADwAAAGRycy9kb3ducmV2LnhtbE2PQU7DMBBF90jcwRokdtSpm6YljVMhUJYIETiAE0/jqLEd&#10;xW6b3J5hBcvRf/r/TXGc7cCuOIXeOwnrVQIMXet17zoJ31/V0x5YiMppNXiHEhYMcCzv7wqVa39z&#10;n3itY8eoxIVcSTAxjjnnoTVoVVj5ER1lJz9ZFemcOq4ndaNyO3CRJBm3qne0YNSIrwbbc32xEmax&#10;mGrj27eXtDbL6WPfVO/bScrHh3VyABZxjn8w/OqTOpTk1PiL04ENEjYi2xFKQboFRkCa7p6BNRIy&#10;IYCXBf//QfkDUEsDBBQAAAAIAIdO4kAxm48gBAIAAA8EAAAOAAAAZHJzL2Uyb0RvYy54bWytU0tu&#10;2zAQ3RfoHQjuayku6iSC5QCtm26KtkDaA9D8SAT4A4e25Au0N+iqm+57Lp+jQ8pxmmTjRbWQRjOP&#10;j/Meh8ub0RqykxG0dy29mNWUSMe90K5r6bevt6+uKIHEnGDGO9nSvQR6s3r5YjmERs59742QkSCJ&#10;g2YILe1TCk1VAe+lZTDzQTosKh8tS/gbu0pENiC7NdW8rhfV4KMI0XMJgNn1VKRHxngOoVdKc7n2&#10;fGulSxNrlIYllAS9DkBXpVulJE+flQKZiGkpKk3ljZtgvMnvarVkTRdZ6DU/tsDOaeGJJsu0w01P&#10;VGuWGNlG/YzKah49eJVm3NtqElIcQRUX9RNv7noWZNGCVkM4mQ7/j5Z/2n2JRAuchDkljlk88cPP&#10;H4dffw6/vxPMoUFDgAZxdwGRaXzrRwTf5wGTWfeoos1fVESwjvbuT/bKMRGOycvF9WKOFY6l1/X8&#10;6vpNZqkeFocI6YP0luSgpRFPr5jKdh8hTdB7SN7L+VttTDlB48iQJVzWmZ/hWCocBwxtQGngusID&#10;3miR1+TVELvNOxPJjuXRKM+xnUewvOGaQT/hSinDWGN1krFEvWTivRMk7QO65/DW0NyNlYISI/GS&#10;5aggE9PmHCR6Yhxak52fHM5RGjcj0uRw48UeT2Mbou56tKqcR4HjnBRPjzOdB/Hf/0L6cI9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y1L4F1wAAAAkBAAAPAAAAAAAAAAEAIAAAACIAAABkcnMv&#10;ZG93bnJldi54bWxQSwECFAAUAAAACACHTuJAMZuPIAQCAAAPBAAADgAAAAAAAAABACAAAAAmAQAA&#10;ZHJzL2Uyb0RvYy54bWxQSwUGAAAAAAYABgBZAQAAnAUAAAAA&#10;">
                      <v:fill on="f" focussize="0,0"/>
                      <v:stroke weight="1pt" color="#000000" joinstyle="miter"/>
                      <v:imagedata o:title=""/>
                      <o:lock v:ext="edit" aspectratio="f"/>
                      <v:textbox>
                        <w:txbxContent>
                          <w:p>
                            <w:pPr>
                              <w:pStyle w:val="20"/>
                              <w:rPr>
                                <w:szCs w:val="21"/>
                              </w:rPr>
                            </w:pPr>
                            <w:r>
                              <w:rPr>
                                <w:rFonts w:hint="eastAsia"/>
                                <w:szCs w:val="21"/>
                              </w:rPr>
                              <w:t>钻前作业</w:t>
                            </w:r>
                          </w:p>
                        </w:txbxContent>
                      </v:textbox>
                    </v:shape>
                  </w:pict>
                </mc:Fallback>
              </mc:AlternateContent>
            </w:r>
          </w:p>
          <w:p>
            <w:pPr>
              <w:ind w:firstLine="480"/>
              <w:jc w:val="left"/>
              <w:rPr>
                <w:b/>
                <w:sz w:val="21"/>
                <w:szCs w:val="21"/>
              </w:rPr>
            </w:pPr>
            <w:r>
              <mc:AlternateContent>
                <mc:Choice Requires="wps">
                  <w:drawing>
                    <wp:anchor distT="0" distB="0" distL="114300" distR="114300" simplePos="0" relativeHeight="251720704" behindDoc="0" locked="0" layoutInCell="1" allowOverlap="1">
                      <wp:simplePos x="0" y="0"/>
                      <wp:positionH relativeFrom="column">
                        <wp:posOffset>3368040</wp:posOffset>
                      </wp:positionH>
                      <wp:positionV relativeFrom="paragraph">
                        <wp:posOffset>-232410</wp:posOffset>
                      </wp:positionV>
                      <wp:extent cx="769620" cy="2762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9620" cy="276225"/>
                              </a:xfrm>
                              <a:prstGeom prst="rect">
                                <a:avLst/>
                              </a:prstGeom>
                              <a:noFill/>
                              <a:ln w="12700">
                                <a:noFill/>
                              </a:ln>
                            </wps:spPr>
                            <wps:txbx>
                              <w:txbxContent>
                                <w:p>
                                  <w:pPr>
                                    <w:pStyle w:val="20"/>
                                    <w:rPr>
                                      <w:szCs w:val="21"/>
                                    </w:rPr>
                                  </w:pPr>
                                  <w:r>
                                    <w:rPr>
                                      <w:rFonts w:hint="eastAsia"/>
                                      <w:szCs w:val="21"/>
                                    </w:rPr>
                                    <w:t>扬尘</w:t>
                                  </w:r>
                                </w:p>
                              </w:txbxContent>
                            </wps:txbx>
                            <wps:bodyPr upright="1"/>
                          </wps:wsp>
                        </a:graphicData>
                      </a:graphic>
                    </wp:anchor>
                  </w:drawing>
                </mc:Choice>
                <mc:Fallback>
                  <w:pict>
                    <v:shape id="_x0000_s1026" o:spid="_x0000_s1026" o:spt="202" type="#_x0000_t202" style="position:absolute;left:0pt;margin-left:265.2pt;margin-top:-18.3pt;height:21.75pt;width:60.6pt;z-index:251720704;mso-width-relative:page;mso-height-relative:page;" filled="f" stroked="f" coordsize="21600,21600" o:gfxdata="UEsDBAoAAAAAAIdO4kAAAAAAAAAAAAAAAAAEAAAAZHJzL1BLAwQUAAAACACHTuJA2gbE9dgAAAAJ&#10;AQAADwAAAGRycy9kb3ducmV2LnhtbE2PMU/DMBCFdyT+g3WV2Fo7DY1oGqcCJAaGDhTYL7GbRI3P&#10;IXbTwq/nmOj2Tvfu3feK7cX1YrJj6DxpSBYKhKXam44aDR/vL/MHECEiGew9WQ3fNsC2vL0pMDf+&#10;TG922sdGcAiFHDW0MQ65lKFurcOw8IMl3h386DDyODbSjHjmcNfLpVKZdNgRf2hxsM+trY/7k2OM&#10;6bNK1/HRh7A7LJ9ef3BXHb+0vpslagMi2kv8N8MfPt9AyUyVP5EJotewStU9WzXM0ywDwY5slbCo&#10;WKxBloW8blD+AlBLAwQUAAAACACHTuJAfzfbHLMBAABXAwAADgAAAGRycy9lMm9Eb2MueG1srVPB&#10;jtMwEL0j8Q+W7zTZSLQQNV0JVcsFAdLCB7iO3ViyPZbHbdIfgD/gxIU739XvYOx0u2i57IGLY8+M&#10;37z3xlnfTs6yo4powHf8ZlFzpryE3vh9x79+uXv1hjNMwvfCglcdPynkt5uXL9ZjaFUDA9heRUYg&#10;HtsxdHxIKbRVhXJQTuACgvKU1BCdSHSM+6qPYiR0Z6umrpfVCLEPEaRCpOh2TvILYnwOIGhtpNqC&#10;PDjl04walRWJJOFgAvJNYau1kumT1qgSsx0npams1IT2u7xWm7Vo91GEwcgLBfEcCk80OWE8Nb1C&#10;bUUS7BDNP1DOyAgIOi0kuGoWUhwhFTf1E2/uBxFU0UJWY7iajv8PVn48fo7M9B1vOPPC0cDPP76f&#10;f/4+//rGmmzPGLClqvtAdWl6BxM9moc4UjCrnnR0+Ut6GOXJ3NPVXDUlJim4Wr5dNpSRlGpWy6Z5&#10;nVGqx8shYnqvwLG86Xik2RVLxfEDprn0oST38nBnrC3zs56NxKpZ1XW5cU0RuvXUJGuYueZdmnbT&#10;RdgO+hPpOoRo9gM1LcpKOfld2F3eRh7o3+cC+vg/bP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2gbE9dgAAAAJAQAADwAAAAAAAAABACAAAAAiAAAAZHJzL2Rvd25yZXYueG1sUEsBAhQAFAAAAAgA&#10;h07iQH832xyzAQAAVwMAAA4AAAAAAAAAAQAgAAAAJwEAAGRycy9lMm9Eb2MueG1sUEsFBgAAAAAG&#10;AAYAWQEAAEwFAAAAAA==&#10;">
                      <v:fill on="f" focussize="0,0"/>
                      <v:stroke on="f" weight="1pt"/>
                      <v:imagedata o:title=""/>
                      <o:lock v:ext="edit" aspectratio="f"/>
                      <v:textbox>
                        <w:txbxContent>
                          <w:p>
                            <w:pPr>
                              <w:pStyle w:val="20"/>
                              <w:rPr>
                                <w:szCs w:val="21"/>
                              </w:rPr>
                            </w:pPr>
                            <w:r>
                              <w:rPr>
                                <w:rFonts w:hint="eastAsia"/>
                                <w:szCs w:val="21"/>
                              </w:rPr>
                              <w:t>扬尘</w:t>
                            </w:r>
                          </w:p>
                        </w:txbxContent>
                      </v:textbox>
                    </v:shape>
                  </w:pict>
                </mc:Fallback>
              </mc:AlternateContent>
            </w:r>
            <w:r>
              <w:rPr>
                <w:sz w:val="21"/>
              </w:rPr>
              <mc:AlternateContent>
                <mc:Choice Requires="wps">
                  <w:drawing>
                    <wp:anchor distT="0" distB="0" distL="114300" distR="114300" simplePos="0" relativeHeight="251705344" behindDoc="0" locked="0" layoutInCell="1" allowOverlap="1">
                      <wp:simplePos x="0" y="0"/>
                      <wp:positionH relativeFrom="column">
                        <wp:posOffset>3371215</wp:posOffset>
                      </wp:positionH>
                      <wp:positionV relativeFrom="paragraph">
                        <wp:posOffset>51435</wp:posOffset>
                      </wp:positionV>
                      <wp:extent cx="769620" cy="276225"/>
                      <wp:effectExtent l="0" t="0" r="0" b="0"/>
                      <wp:wrapNone/>
                      <wp:docPr id="5" name="文本框 5"/>
                      <wp:cNvGraphicFramePr/>
                      <a:graphic xmlns:a="http://schemas.openxmlformats.org/drawingml/2006/main">
                        <a:graphicData uri="http://schemas.microsoft.com/office/word/2010/wordprocessingShape">
                          <wps:wsp>
                            <wps:cNvSpPr txBox="1"/>
                            <wps:spPr>
                              <a:xfrm>
                                <a:off x="0" y="0"/>
                                <a:ext cx="769620" cy="276225"/>
                              </a:xfrm>
                              <a:prstGeom prst="rect">
                                <a:avLst/>
                              </a:prstGeom>
                              <a:noFill/>
                              <a:ln w="12700">
                                <a:noFill/>
                              </a:ln>
                            </wps:spPr>
                            <wps:txbx>
                              <w:txbxContent>
                                <w:p>
                                  <w:pPr>
                                    <w:pStyle w:val="20"/>
                                    <w:rPr>
                                      <w:szCs w:val="21"/>
                                    </w:rPr>
                                  </w:pPr>
                                  <w:r>
                                    <w:rPr>
                                      <w:rFonts w:hint="eastAsia"/>
                                      <w:szCs w:val="21"/>
                                    </w:rPr>
                                    <w:t>噪声</w:t>
                                  </w:r>
                                </w:p>
                              </w:txbxContent>
                            </wps:txbx>
                            <wps:bodyPr upright="1"/>
                          </wps:wsp>
                        </a:graphicData>
                      </a:graphic>
                    </wp:anchor>
                  </w:drawing>
                </mc:Choice>
                <mc:Fallback>
                  <w:pict>
                    <v:shape id="_x0000_s1026" o:spid="_x0000_s1026" o:spt="202" type="#_x0000_t202" style="position:absolute;left:0pt;margin-left:265.45pt;margin-top:4.05pt;height:21.75pt;width:60.6pt;z-index:251705344;mso-width-relative:page;mso-height-relative:page;" filled="f" stroked="f" coordsize="21600,21600" o:gfxdata="UEsDBAoAAAAAAIdO4kAAAAAAAAAAAAAAAAAEAAAAZHJzL1BLAwQUAAAACACHTuJAoTgyxdYAAAAI&#10;AQAADwAAAGRycy9kb3ducmV2LnhtbE2PMU/DQAyFdyT+w8lIbPSSVI3akEsFSAwMHSiwOzk3iZrz&#10;hdw1Lfx6zASbrff8/L1ye3GDmmkKvWcD6SIBRdx423Nr4P3t+W4NKkRki4NnMvBFAbbV9VWJhfVn&#10;fqV5H1slIRwKNNDFOBZah6Yjh2HhR2LRDn5yGGWdWm0nPEu4G3SWJLl22LN86HCkp46a4/7kBGP+&#10;qJeb+OBD2B2yx5dv3NXHT2Nub9LkHlSkS/wzwy++3EAlTLU/sQ1qMLBaJhuxGlinoETPV5kMtQhp&#10;Droq9f8C1Q9QSwMEFAAAAAgAh07iQGEmJG60AQAAVwMAAA4AAABkcnMvZTJvRG9jLnhtbK1TS27b&#10;MBDdF+gdCO5jKQJit4LlAIGRboq2QNoD0BRpESA5BIe25Au0N+iqm+57Lp+jQ9pxgnSTRTfUcD5v&#10;5r2hlreTs2yvIhrwHb+e1ZwpL6E3ftvxb1/vr95xhkn4XljwquMHhfx29fbNcgytamAA26vICMRj&#10;O4aODymFtqpQDsoJnEFQnoIaohOJrnFb9VGMhO5s1dT1vBoh9iGCVIjkXZ+C/IwYXwMIWhup1iB3&#10;Tvl0Qo3KikSUcDAB+apMq7WS6bPWqBKzHSemqZzUhOxNPqvVUrTbKMJg5HkE8ZoRXnBywnhqeoFa&#10;iyTYLpp/oJyRERB0mklw1YlIUYRYXNcvtHkYRFCFC0mN4SI6/j9Y+Wn/JTLTd/yGMy8cLfz488fx&#10;15/j7+/sJsszBmwp6yFQXpruYKJH8+hHcmbWk44uf4kPoziJe7iIq6bEJDkX8/fzhiKSQs1i3jQF&#10;vXoqDhHTBwWOZaPjkXZXJBX7j5hoEEp9TMm9PNwba8v+rGcjTdUs6rpUXEJUYj1VZg6nWbOVps10&#10;JraB/kC8diGa7UBNC7OSTnqXlue3kRf6/F5An/6H1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h&#10;ODLF1gAAAAgBAAAPAAAAAAAAAAEAIAAAACIAAABkcnMvZG93bnJldi54bWxQSwECFAAUAAAACACH&#10;TuJAYSYkbrQBAABXAwAADgAAAAAAAAABACAAAAAlAQAAZHJzL2Uyb0RvYy54bWxQSwUGAAAAAAYA&#10;BgBZAQAASwUAAAAA&#10;">
                      <v:fill on="f" focussize="0,0"/>
                      <v:stroke on="f" weight="1pt"/>
                      <v:imagedata o:title=""/>
                      <o:lock v:ext="edit" aspectratio="f"/>
                      <v:textbox>
                        <w:txbxContent>
                          <w:p>
                            <w:pPr>
                              <w:pStyle w:val="20"/>
                              <w:rPr>
                                <w:szCs w:val="21"/>
                              </w:rPr>
                            </w:pPr>
                            <w:r>
                              <w:rPr>
                                <w:rFonts w:hint="eastAsia"/>
                                <w:szCs w:val="21"/>
                              </w:rPr>
                              <w:t>噪声</w:t>
                            </w:r>
                          </w:p>
                        </w:txbxContent>
                      </v:textbox>
                    </v:shape>
                  </w:pict>
                </mc:Fallback>
              </mc:AlternateContent>
            </w:r>
            <w:r>
              <w:rPr>
                <w:sz w:val="21"/>
              </w:rPr>
              <mc:AlternateContent>
                <mc:Choice Requires="wps">
                  <w:drawing>
                    <wp:anchor distT="0" distB="0" distL="114300" distR="114300" simplePos="0" relativeHeight="251704320" behindDoc="0" locked="0" layoutInCell="1" allowOverlap="1">
                      <wp:simplePos x="0" y="0"/>
                      <wp:positionH relativeFrom="column">
                        <wp:posOffset>2854960</wp:posOffset>
                      </wp:positionH>
                      <wp:positionV relativeFrom="paragraph">
                        <wp:posOffset>15240</wp:posOffset>
                      </wp:positionV>
                      <wp:extent cx="449580" cy="635"/>
                      <wp:effectExtent l="0" t="37465" r="7620" b="38100"/>
                      <wp:wrapNone/>
                      <wp:docPr id="3" name="直接连接符 3"/>
                      <wp:cNvGraphicFramePr/>
                      <a:graphic xmlns:a="http://schemas.openxmlformats.org/drawingml/2006/main">
                        <a:graphicData uri="http://schemas.microsoft.com/office/word/2010/wordprocessingShape">
                          <wps:wsp>
                            <wps:cNvCnPr/>
                            <wps:spPr>
                              <a:xfrm>
                                <a:off x="0" y="0"/>
                                <a:ext cx="449580" cy="635"/>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24.8pt;margin-top:1.2pt;height:0.05pt;width:35.4pt;z-index:251704320;mso-width-relative:page;mso-height-relative:page;" filled="f" stroked="t" coordsize="21600,21600" o:gfxdata="UEsDBAoAAAAAAIdO4kAAAAAAAAAAAAAAAAAEAAAAZHJzL1BLAwQUAAAACACHTuJANNsyedcAAAAH&#10;AQAADwAAAGRycy9kb3ducmV2LnhtbE2OT0vEMBTE74LfITzBi7jJlnbR2nSRhUUWBNnVi7c0edsW&#10;m5faZP/op/d50tsMM8z8quXZD+KIU+wDaZjPFAgkG1xPrYa31/XtHYiYDDkzBEINXxhhWV9eVKZ0&#10;4URbPO5SK3iEYmk0dCmNpZTRduhNnIURibN9mLxJbKdWusmceNwPMlNqIb3piR86M+KqQ/uxO3gN&#10;j8+28S8jWvW0eV/vV5/FzTdttL6+mqsHEAnP6a8Mv/iMDjUzNeFALopBQ57fL7iqIctBcF5kikXD&#10;vgBZV/I/f/0DUEsDBBQAAAAIAIdO4kB8zmTO9AEAAN0DAAAOAAAAZHJzL2Uyb0RvYy54bWytU81u&#10;EzEQviPxDpbvZNOkLWWVTQ8N5YKgEvAAE9u7a8l/8rjZ5CV4ASRucOLInbehPAZjb0igCKkH9uAd&#10;2998nu/zeHG5tYZtVETtXcNPJlPOlBNeatc1/N3b6ycXnGECJ8F4pxq+U8gvl48fLYZQq5nvvZEq&#10;MiJxWA+h4X1Koa4qFL2ygBMflKPN1kcLiaaxq2SEgditqWbT6Xk1+ChD9EIh0upq3OR7xvgQQt+2&#10;WqiVF7dWuTSyRmUgkSTsdUC+LNW2rRLpdduiSsw0nJSmMtIhFK/zWC0XUHcRQq/FvgR4SAn3NFnQ&#10;jg49UK0gAbuN+i8qq0X06Ns0Ed5Wo5DiCKk4md7z5k0PQRUtZDWGg+n4/2jFq81NZFo2fM6ZA0sX&#10;fvfh6/f3n358+0jj3ZfPbJ5NGgLWhL1yN3E/w3ATs+JtG23+kxa2LcbuDsaqbWKCFk9Pn51dkOWC&#10;ts7nZ5mwOmaGiOmF8pbloOFGuywaati8xDRCf0HysnFsoMadPZ1mRqAWbOnqKbSBZKDrSjJ6o+W1&#10;NianYOzWVyayDeQ2KN++hj9g+ZQVYD/iJEUZBXWvQD53kqVdIH8cPQueS7BKcmYUvaIcFWQCbY7I&#10;FDW4zvwDTQ4YR0Zka0czc7T2clc8Lut068WqfYfmtvp9XrKPr3L5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TbMnnXAAAABwEAAA8AAAAAAAAAAQAgAAAAIgAAAGRycy9kb3ducmV2LnhtbFBLAQIU&#10;ABQAAAAIAIdO4kB8zmTO9AEAAN0DAAAOAAAAAAAAAAEAIAAAACYBAABkcnMvZTJvRG9jLnhtbFBL&#10;BQYAAAAABgAGAFkBAACM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2461260</wp:posOffset>
                      </wp:positionH>
                      <wp:positionV relativeFrom="paragraph">
                        <wp:posOffset>176530</wp:posOffset>
                      </wp:positionV>
                      <wp:extent cx="635" cy="488950"/>
                      <wp:effectExtent l="37465" t="0" r="38100" b="6350"/>
                      <wp:wrapNone/>
                      <wp:docPr id="13" name="直接连接符 13"/>
                      <wp:cNvGraphicFramePr/>
                      <a:graphic xmlns:a="http://schemas.openxmlformats.org/drawingml/2006/main">
                        <a:graphicData uri="http://schemas.microsoft.com/office/word/2010/wordprocessingShape">
                          <wps:wsp>
                            <wps:cNvCnPr/>
                            <wps:spPr>
                              <a:xfrm>
                                <a:off x="0" y="0"/>
                                <a:ext cx="635" cy="48895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93.8pt;margin-top:13.9pt;height:38.5pt;width:0.05pt;z-index:251670528;mso-width-relative:page;mso-height-relative:page;" filled="f" stroked="t" coordsize="21600,21600" o:gfxdata="UEsDBAoAAAAAAIdO4kAAAAAAAAAAAAAAAAAEAAAAZHJzL1BLAwQUAAAACACHTuJAhVdlNdgAAAAK&#10;AQAADwAAAGRycy9kb3ducmV2LnhtbE2PQU/DMAyF70j8h8hIXBBL1qG1Kk0ngYQ4cGIgsWPWmLai&#10;cbokbce/x5zgaPt7z+9Vu7MbxIwh9p40rFcKBFLjbU+thve3p9sCREyGrBk8oYZvjLCrLy8qU1q/&#10;0CvO+9QKNqFYGg1dSmMpZWw6dCau/IjEt08fnEk8hlbaYBY2d4PMlNpKZ3riD50Z8bHD5ms/OY4h&#10;XUgfzy/T9DA3h+WQndLN5qT19dVa3YNIeE5/MPzGZw3UnOnoJ7JRDBo2Rb5lVEOWcwUGeJGDODKp&#10;7gqQdSX/V6h/AFBLAwQUAAAACACHTuJA+523tPgBAADgAwAADgAAAGRycy9lMm9Eb2MueG1srVPN&#10;bhMxEL4j8Q6W72TTlJawyqaHhnJBUAl4gInt3bXkP3ncbPISvAASNzhx5N63oTwGY29IoAipB/bg&#10;HY9nvpnv83hxsbWGbVRE7V3DTyZTzpQTXmrXNfz9u6snc84wgZNgvFMN3ynkF8vHjxZDqNXM995I&#10;FRmBOKyH0PA+pVBXFYpeWcCJD8rRYeujhUTb2FUywkDo1lSz6fS8GnyUIXqhEMm7Gg/5HjE+BNC3&#10;rRZq5cWNVS6NqFEZSEQJex2QL0u3batEetO2qBIzDSemqaxUhOx1XqvlAuouQui12LcAD2nhHicL&#10;2lHRA9QKErCbqP+CslpEj75NE+FtNRIpihCLk+k9bd72EFThQlJjOIiO/w9WvN5cR6YlTcIpZw4s&#10;3fjdx2/fP3z+cfuJ1ruvXxidkExDwJqiL9113O8wXMfMedtGm//Ehm2LtLuDtGqbmCDn+ekZZ4L8&#10;T+fz52dF9+qYGSKml8pblo2GG+0ybahh8woTVaPQXyHZbRwbqOHZsyldowAawpYun0wbiAi6riSj&#10;N1peaWNyCsZufWki20AehPJlUgT8R1iusgLsx7hyNI5Ir0C+cJKlXSCFHL0MnnuwSnJmFD2kbBEg&#10;1Am0OUamqMF15h/RVN446iJrO6qZrbWXuyJy8dPFlz73Q5on6/d9yT4+zO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VdlNdgAAAAKAQAADwAAAAAAAAABACAAAAAiAAAAZHJzL2Rvd25yZXYueG1s&#10;UEsBAhQAFAAAAAgAh07iQPudt7T4AQAA4AMAAA4AAAAAAAAAAQAgAAAAJwEAAGRycy9lMm9Eb2Mu&#10;eG1sUEsFBgAAAAAGAAYAWQEAAJEFAAAAAA==&#10;">
                      <v:fill on="f" focussize="0,0"/>
                      <v:stroke weight="1pt" color="#000000" joinstyle="round" endarrow="block"/>
                      <v:imagedata o:title=""/>
                      <o:lock v:ext="edit" aspectratio="f"/>
                    </v:line>
                  </w:pict>
                </mc:Fallback>
              </mc:AlternateContent>
            </w:r>
          </w:p>
          <w:p>
            <w:pPr>
              <w:ind w:firstLine="420"/>
              <w:jc w:val="left"/>
              <w:rPr>
                <w:b/>
                <w:sz w:val="21"/>
                <w:szCs w:val="21"/>
              </w:rPr>
            </w:pPr>
            <w:r>
              <w:rPr>
                <w:sz w:val="21"/>
              </w:rPr>
              <mc:AlternateContent>
                <mc:Choice Requires="wps">
                  <w:drawing>
                    <wp:anchor distT="0" distB="0" distL="114300" distR="114300" simplePos="0" relativeHeight="251688960" behindDoc="0" locked="0" layoutInCell="1" allowOverlap="1">
                      <wp:simplePos x="0" y="0"/>
                      <wp:positionH relativeFrom="column">
                        <wp:posOffset>3740785</wp:posOffset>
                      </wp:positionH>
                      <wp:positionV relativeFrom="paragraph">
                        <wp:posOffset>34290</wp:posOffset>
                      </wp:positionV>
                      <wp:extent cx="1032510" cy="43688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032510" cy="436880"/>
                              </a:xfrm>
                              <a:prstGeom prst="rect">
                                <a:avLst/>
                              </a:prstGeom>
                              <a:noFill/>
                              <a:ln w="12700">
                                <a:noFill/>
                              </a:ln>
                            </wps:spPr>
                            <wps:txbx>
                              <w:txbxContent>
                                <w:p>
                                  <w:pPr>
                                    <w:pStyle w:val="20"/>
                                    <w:rPr>
                                      <w:szCs w:val="21"/>
                                    </w:rPr>
                                  </w:pPr>
                                  <w:r>
                                    <w:rPr>
                                      <w:rFonts w:hint="eastAsia"/>
                                      <w:szCs w:val="21"/>
                                    </w:rPr>
                                    <w:t>钻井泥浆</w:t>
                                  </w:r>
                                </w:p>
                                <w:p>
                                  <w:pPr>
                                    <w:pStyle w:val="20"/>
                                    <w:rPr>
                                      <w:szCs w:val="21"/>
                                    </w:rPr>
                                  </w:pPr>
                                  <w:r>
                                    <w:rPr>
                                      <w:rFonts w:hint="eastAsia"/>
                                      <w:szCs w:val="21"/>
                                    </w:rPr>
                                    <w:t>钻井岩屑</w:t>
                                  </w:r>
                                </w:p>
                                <w:p>
                                  <w:pPr>
                                    <w:pStyle w:val="20"/>
                                    <w:rPr>
                                      <w:szCs w:val="21"/>
                                    </w:rPr>
                                  </w:pPr>
                                </w:p>
                              </w:txbxContent>
                            </wps:txbx>
                            <wps:bodyPr upright="1"/>
                          </wps:wsp>
                        </a:graphicData>
                      </a:graphic>
                    </wp:anchor>
                  </w:drawing>
                </mc:Choice>
                <mc:Fallback>
                  <w:pict>
                    <v:shape id="_x0000_s1026" o:spid="_x0000_s1026" o:spt="202" type="#_x0000_t202" style="position:absolute;left:0pt;margin-left:294.55pt;margin-top:2.7pt;height:34.4pt;width:81.3pt;z-index:251688960;mso-width-relative:page;mso-height-relative:page;" filled="f" stroked="f" coordsize="21600,21600" o:gfxdata="UEsDBAoAAAAAAIdO4kAAAAAAAAAAAAAAAAAEAAAAZHJzL1BLAwQUAAAACACHTuJAD1LvKNcAAAAI&#10;AQAADwAAAGRycy9kb3ducmV2LnhtbE2PMU/DQAyFdyT+w8lIbPSS0NI25FIBEgNDBwrsTs5NouZ8&#10;IXdNC78eM8H2rPf8/LnYnF2vJhpD59lAOktAEdfedtwYeH97vlmBChHZYu+ZDHxRgE15eVFgbv2J&#10;X2naxUZJCYccDbQxDrnWoW7JYZj5gVi8vR8dRhnHRtsRT1Luep0lyZ122LFcaHGgp5bqw+7oBGP6&#10;qG7X8cGHsN1njy/fuK0On8ZcX6XJPahI5/gXhl982YFSmCp/ZBtUb2CxWqcSFTEHJf5ykS5BVSLm&#10;Geiy0P8fKH8AUEsDBBQAAAAIAIdO4kBEpJEMtAEAAFoDAAAOAAAAZHJzL2Uyb0RvYy54bWytU0tu&#10;2zAQ3RfIHQjuaylOmhqC5QCFkWyCNEDaA9AUaREgOQSHtuQLpDfoqpvucy6fo0PacYp0k0U31HA+&#10;b+a9oebXo7NsqyIa8C0/n9ScKS+hM37d8u/fbj7OOMMkfCcseNXynUJ+vTj7MB9Co6bQg+1UZATi&#10;sRlCy/uUQlNVKHvlBE4gKE9BDdGJRNe4rrooBkJ3tprW9VU1QOxCBKkQybs8BPkRMb4HELQ2Ui1B&#10;bpzy6YAalRWJKGFvAvJFmVZrJdNXrVElZltOTFM5qQnZq3xWi7lo1lGE3sjjCOI9I7zh5ITx1PQE&#10;tRRJsE00/0A5IyMg6DSR4KoDkaIIsTiv32jz2IugCheSGsNJdPx/sPJ++xCZ6eglkCReONr4/ueP&#10;/a/n/e8nRj4SaAjYUN5joMw0foGRkl/8SM7Me9TR5S8xYhQnrN1JXjUmJnNRfTH9lNtIil1eXM1m&#10;Bb56rQ4R060Cx7LR8kjrK6qK7R0mmoRSX1JyMw83xtqyQuvZQB2mn+u6VJxCVGI9VWYSh2GzlcbV&#10;eGS2gm5HxDYhmnVPTQu1kk6Sl5bH55F3+ve9gL7+Eo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D1LvKNcAAAAIAQAADwAAAAAAAAABACAAAAAiAAAAZHJzL2Rvd25yZXYueG1sUEsBAhQAFAAAAAgA&#10;h07iQESkkQy0AQAAWgMAAA4AAAAAAAAAAQAgAAAAJgEAAGRycy9lMm9Eb2MueG1sUEsFBgAAAAAG&#10;AAYAWQEAAEwFAAAAAA==&#10;">
                      <v:fill on="f" focussize="0,0"/>
                      <v:stroke on="f" weight="1pt"/>
                      <v:imagedata o:title=""/>
                      <o:lock v:ext="edit" aspectratio="f"/>
                      <v:textbox>
                        <w:txbxContent>
                          <w:p>
                            <w:pPr>
                              <w:pStyle w:val="20"/>
                              <w:rPr>
                                <w:szCs w:val="21"/>
                              </w:rPr>
                            </w:pPr>
                            <w:r>
                              <w:rPr>
                                <w:rFonts w:hint="eastAsia"/>
                                <w:szCs w:val="21"/>
                              </w:rPr>
                              <w:t>钻井泥浆</w:t>
                            </w:r>
                          </w:p>
                          <w:p>
                            <w:pPr>
                              <w:pStyle w:val="20"/>
                              <w:rPr>
                                <w:szCs w:val="21"/>
                              </w:rPr>
                            </w:pPr>
                            <w:r>
                              <w:rPr>
                                <w:rFonts w:hint="eastAsia"/>
                                <w:szCs w:val="21"/>
                              </w:rPr>
                              <w:t>钻井岩屑</w:t>
                            </w:r>
                          </w:p>
                          <w:p>
                            <w:pPr>
                              <w:pStyle w:val="20"/>
                              <w:rPr>
                                <w:szCs w:val="21"/>
                              </w:rPr>
                            </w:pPr>
                          </w:p>
                        </w:txbxContent>
                      </v:textbox>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649605</wp:posOffset>
                      </wp:positionH>
                      <wp:positionV relativeFrom="paragraph">
                        <wp:posOffset>135890</wp:posOffset>
                      </wp:positionV>
                      <wp:extent cx="769620" cy="29019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769620" cy="290195"/>
                              </a:xfrm>
                              <a:prstGeom prst="rect">
                                <a:avLst/>
                              </a:prstGeom>
                              <a:noFill/>
                              <a:ln w="12700">
                                <a:noFill/>
                              </a:ln>
                            </wps:spPr>
                            <wps:txbx>
                              <w:txbxContent>
                                <w:p>
                                  <w:pPr>
                                    <w:pStyle w:val="20"/>
                                    <w:rPr>
                                      <w:szCs w:val="21"/>
                                    </w:rPr>
                                  </w:pPr>
                                  <w:r>
                                    <w:rPr>
                                      <w:rFonts w:hint="eastAsia"/>
                                      <w:szCs w:val="21"/>
                                    </w:rPr>
                                    <w:t>扬尘</w:t>
                                  </w:r>
                                </w:p>
                              </w:txbxContent>
                            </wps:txbx>
                            <wps:bodyPr upright="1"/>
                          </wps:wsp>
                        </a:graphicData>
                      </a:graphic>
                    </wp:anchor>
                  </w:drawing>
                </mc:Choice>
                <mc:Fallback>
                  <w:pict>
                    <v:shape id="_x0000_s1026" o:spid="_x0000_s1026" o:spt="202" type="#_x0000_t202" style="position:absolute;left:0pt;margin-left:51.15pt;margin-top:10.7pt;height:22.85pt;width:60.6pt;z-index:251685888;mso-width-relative:page;mso-height-relative:page;" filled="f" stroked="f" coordsize="21600,21600" o:gfxdata="UEsDBAoAAAAAAIdO4kAAAAAAAAAAAAAAAAAEAAAAZHJzL1BLAwQUAAAACACHTuJAJ5SklNcAAAAJ&#10;AQAADwAAAGRycy9kb3ducmV2LnhtbE2PwU7DMAyG70i8Q2QkbixpCgNK0wmQOHDYYQPubuO11Zqk&#10;NFk3eHrMCY6//Pn353J1coOYaYp98AayhQJBvgm2962B97eXqzsQMaG3OARPBr4owqo6PyuxsOHo&#10;NzRvUyu4xMcCDXQpjYWUsenIYVyEkTzPdmFymDhOrbQTHrncDVIrtZQOe88XOhzpuaNmvz041pg/&#10;6vw+PYYY1zv99PqN63r/aczlRaYeQCQ6pT8YfvV5Byp2qsPB2ygGzkrnjBrQ2TUIBrTOb0DUBpa3&#10;GciqlP8/qH4AUEsDBBQAAAAIAIdO4kD8t4ovtQEAAFkDAAAOAAAAZHJzL2Uyb0RvYy54bWytU0Fu&#10;2zAQvBfIHwjeY8kC6tSC5QCFkVyCtkDaB9AUZREguQSXtuQPtD/oqZfe+y6/o0vKcYL0kkMvFLk7&#10;nN2ZpVa3ozXsoAJqcA2fz0rOlJPQardr+Levd9cfOMMoXCsMONXwo0J+u756txp8rSrowbQqMCJx&#10;WA++4X2Mvi4KlL2yAmfglaNkB8GKSMewK9ogBmK3pqjKclEMEFofQCpEim6mJD8zhrcQQtdpqTYg&#10;91a5OLEGZUQkSdhrj3ydu+06JePnrkMVmWk4KY15pSK036a1WK9EvQvC91qeWxBvaeGVJiu0o6IX&#10;qo2Igu2D/ofKahkAoYszCbaYhGRHSMW8fOXNYy+8ylrIavQX0/H/0cpPhy+B6ZZewpwzJyxN/PTz&#10;x+nXn9Pv74xiZNDgsSbcoydkHD/CSOCnOFIw6R67YNOXFDHKk73Hi71qjExS8GaxXFSUkZSqluV8&#10;+T6xFM+XfcB4r8CytGl4oOllU8XhAeMEfYKkWg7utDF5gsaxgbqqbsoy37ikiN04KpI0TL2mXRy3&#10;41nYFtoj6dr7oHc9Fc3KMpwcz92dX0ca6ctzJn3+I9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eUpJTXAAAACQEAAA8AAAAAAAAAAQAgAAAAIgAAAGRycy9kb3ducmV2LnhtbFBLAQIUABQAAAAI&#10;AIdO4kD8t4ovtQEAAFkDAAAOAAAAAAAAAAEAIAAAACYBAABkcnMvZTJvRG9jLnhtbFBLBQYAAAAA&#10;BgAGAFkBAABNBQAAAAA=&#10;">
                      <v:fill on="f" focussize="0,0"/>
                      <v:stroke on="f" weight="1pt"/>
                      <v:imagedata o:title=""/>
                      <o:lock v:ext="edit" aspectratio="f"/>
                      <v:textbox>
                        <w:txbxContent>
                          <w:p>
                            <w:pPr>
                              <w:pStyle w:val="20"/>
                              <w:rPr>
                                <w:szCs w:val="21"/>
                              </w:rPr>
                            </w:pPr>
                            <w:r>
                              <w:rPr>
                                <w:rFonts w:hint="eastAsia"/>
                                <w:szCs w:val="21"/>
                              </w:rPr>
                              <w:t>扬尘</w:t>
                            </w:r>
                          </w:p>
                        </w:txbxContent>
                      </v:textbox>
                    </v:shape>
                  </w:pict>
                </mc:Fallback>
              </mc:AlternateContent>
            </w:r>
          </w:p>
          <w:p>
            <w:pPr>
              <w:ind w:firstLine="420"/>
              <w:jc w:val="left"/>
              <w:rPr>
                <w:b/>
                <w:sz w:val="21"/>
                <w:szCs w:val="21"/>
              </w:rPr>
            </w:pPr>
            <w:r>
              <w:rPr>
                <w:sz w:val="21"/>
              </w:rPr>
              <mc:AlternateContent>
                <mc:Choice Requires="wps">
                  <w:drawing>
                    <wp:anchor distT="0" distB="0" distL="114300" distR="114300" simplePos="0" relativeHeight="251719680" behindDoc="0" locked="0" layoutInCell="1" allowOverlap="1">
                      <wp:simplePos x="0" y="0"/>
                      <wp:positionH relativeFrom="column">
                        <wp:posOffset>3905885</wp:posOffset>
                      </wp:positionH>
                      <wp:positionV relativeFrom="paragraph">
                        <wp:posOffset>212725</wp:posOffset>
                      </wp:positionV>
                      <wp:extent cx="1157605" cy="2762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57605" cy="276225"/>
                              </a:xfrm>
                              <a:prstGeom prst="rect">
                                <a:avLst/>
                              </a:prstGeom>
                              <a:noFill/>
                              <a:ln w="12700">
                                <a:noFill/>
                              </a:ln>
                            </wps:spPr>
                            <wps:txbx>
                              <w:txbxContent>
                                <w:p>
                                  <w:pPr>
                                    <w:ind w:firstLine="0" w:firstLineChars="0"/>
                                    <w:rPr>
                                      <w:color w:val="000000"/>
                                    </w:rPr>
                                  </w:pPr>
                                  <w:r>
                                    <w:rPr>
                                      <w:rFonts w:hint="eastAsia"/>
                                      <w:color w:val="000000"/>
                                      <w:sz w:val="21"/>
                                      <w:szCs w:val="21"/>
                                    </w:rPr>
                                    <w:t>机械设备废油</w:t>
                                  </w:r>
                                </w:p>
                              </w:txbxContent>
                            </wps:txbx>
                            <wps:bodyPr upright="1"/>
                          </wps:wsp>
                        </a:graphicData>
                      </a:graphic>
                    </wp:anchor>
                  </w:drawing>
                </mc:Choice>
                <mc:Fallback>
                  <w:pict>
                    <v:shape id="_x0000_s1026" o:spid="_x0000_s1026" o:spt="202" type="#_x0000_t202" style="position:absolute;left:0pt;margin-left:307.55pt;margin-top:16.75pt;height:21.75pt;width:91.15pt;z-index:251719680;mso-width-relative:page;mso-height-relative:page;" filled="f" stroked="f" coordsize="21600,21600" o:gfxdata="UEsDBAoAAAAAAIdO4kAAAAAAAAAAAAAAAAAEAAAAZHJzL1BLAwQUAAAACACHTuJAcbAegtgAAAAJ&#10;AQAADwAAAGRycy9kb3ducmV2LnhtbE2PwU7DMAyG70i8Q2QkbizpytatNJ0AiQOHHRjsnjZeW61x&#10;SpN1g6fHnOBmy59/fy42F9eLCcfQedKQzBQIpNrbjhoNH+8vdysQIRqypveEGr4wwKa8vipMbv2Z&#10;3nDaxUZwCIXcaGhjHHIpQ92iM2HmBySeHfzoTOR2bKQdzZnDXS/nSi2lMx3xhdYM+NxifdydHGtM&#10;+ypdx0cfwvYwf3r9Ntvq+Kn17U2iHkBEvMQ/GH71eQdKdqr8iWwQvYZlskgY1ZCmCxAMZOvsHkTF&#10;RaZAloX8/0H5A1BLAwQUAAAACACHTuJArwxzQ7QBAABYAwAADgAAAGRycy9lMm9Eb2MueG1srVPN&#10;jtMwEL4j8Q6W7zRppLYoaroSqpYLAqSFB3Adp7FkeyyP26QvAG/AiQt3nqvPwdjJdtFy2QMXZzw/&#10;38z3jbO9G61hZxVQg2v4clFyppyEVrtjw79+uX/zljOMwrXCgFMNvyjkd7vXr7aDr1UFPZhWBUYg&#10;DuvBN7yP0ddFgbJXVuACvHIU7CBYEekajkUbxEDo1hRVWa6LAULrA0iFSN79FOQzYngJIHSdlmoP&#10;8mSVixNqUEZEooS99sh3edquUzJ+6jpUkZmGE9OYT2pC9iGdxW4r6mMQvtdyHkG8ZIRnnKzQjpre&#10;oPYiCnYK+h8oq2UAhC4uJNhiIpIVIRbL8pk2D73wKnMhqdHfRMf/Bys/nj8Hplt6CZw5YWnh1x/f&#10;rz9/X399Y8skz+CxpqwHT3lxfAdjSp39SM7EeuyCTV/iwyhO4l5u4qoxMpmKlqvNulxxJilWbdZV&#10;tUowxVO1DxjfK7AsGQ0PtLysqTh/wDilPqakZg7utTHkF7VxbKAO1aYsc8UtROjGUZNEYho2WXE8&#10;jDODA7QXInbyQR97apqp5XQSPE83P4600b/vGfTph9j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GwHoLYAAAACQEAAA8AAAAAAAAAAQAgAAAAIgAAAGRycy9kb3ducmV2LnhtbFBLAQIUABQAAAAI&#10;AIdO4kCvDHNDtAEAAFgDAAAOAAAAAAAAAAEAIAAAACcBAABkcnMvZTJvRG9jLnhtbFBLBQYAAAAA&#10;BgAGAFkBAABNBQAAAAA=&#10;">
                      <v:fill on="f" focussize="0,0"/>
                      <v:stroke on="f" weight="1pt"/>
                      <v:imagedata o:title=""/>
                      <o:lock v:ext="edit" aspectratio="f"/>
                      <v:textbox>
                        <w:txbxContent>
                          <w:p>
                            <w:pPr>
                              <w:ind w:firstLine="0" w:firstLineChars="0"/>
                              <w:rPr>
                                <w:color w:val="000000"/>
                              </w:rPr>
                            </w:pPr>
                            <w:r>
                              <w:rPr>
                                <w:rFonts w:hint="eastAsia"/>
                                <w:color w:val="000000"/>
                                <w:sz w:val="21"/>
                                <w:szCs w:val="21"/>
                              </w:rPr>
                              <w:t>机械设备废油</w:t>
                            </w:r>
                          </w:p>
                        </w:txbxContent>
                      </v:textbox>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3646170</wp:posOffset>
                      </wp:positionH>
                      <wp:positionV relativeFrom="paragraph">
                        <wp:posOffset>19050</wp:posOffset>
                      </wp:positionV>
                      <wp:extent cx="236855" cy="0"/>
                      <wp:effectExtent l="0" t="38100" r="10795" b="38100"/>
                      <wp:wrapNone/>
                      <wp:docPr id="4" name="直接连接符 4"/>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87.1pt;margin-top:1.5pt;height:0pt;width:18.65pt;z-index:251676672;mso-width-relative:page;mso-height-relative:page;" filled="f" stroked="t" coordsize="21600,21600" o:gfxdata="UEsDBAoAAAAAAIdO4kAAAAAAAAAAAAAAAAAEAAAAZHJzL1BLAwQUAAAACACHTuJAvtTI8NcAAAAH&#10;AQAADwAAAGRycy9kb3ducmV2LnhtbE2PT0vDQBTE74LfYXmCF2l3U02VmE2RQpGCILZevG12X5Ng&#10;9m3Mbv/op/fpRY/DDDO/KRcn34sDjrELpCGbKhBINriOGg2v29XkDkRMhpzpA6GGT4ywqM7PSlO4&#10;cKQXPGxSI7iEYmE0tCkNhZTRtuhNnIYBib1dGL1JLMdGutEcudz3cqbUXHrTES+0ZsBli/Z9s/ca&#10;Hp5s7Z8HtOpx/bbaLT/yqy9aa315kal7EAlP6S8MP/iMDhUz1WFPLopeQ357M+Oohmu+xP48y3IQ&#10;9a+WVSn/81ffUEsDBBQAAAAIAIdO4kCYHih+9AEAANsDAAAOAAAAZHJzL2Uyb0RvYy54bWytU81u&#10;EzEQviPxDpbvZNPQlmqVTQ8N5YIgEvAAE9u7a8l/8rjZ5CV4ASRucOLInbdpeQzG3jSBIqQe2IN3&#10;PJ75Zr7P4/nl1hq2URG1dw0/mUw5U054qV3X8A/vr59dcIYJnATjnWr4TiG/XDx9Mh9CrWa+90aq&#10;yAjEYT2EhvcphbqqUPTKAk58UI4OWx8tJNrGrpIRBkK3pppNp+fV4KMM0QuFSN7leMj3iPExgL5t&#10;tVBLL26scmlEjcpAIkrY64B8UbptWyXS27ZFlZhpODFNZaUiZK/zWi3mUHcRQq/FvgV4TAsPOFnQ&#10;jooeoJaQgN1E/ReU1SJ69G2aCG+rkUhRhFicTB9o866HoAoXkhrDQXT8f7DizWYVmZYNP+XMgaUL&#10;v/v0/fbjl58/PtN69+0rO80iDQFrir1yq7jfYVjFzHjbRpv/xIVti7C7g7Bqm5gg5+z5+cXZGWfi&#10;/qg65oWI6ZXylmWj4Ua7TBlq2LzGRLUo9D4ku41jA43t7MWUrlAADWBLF0+mDUQCXVeS0Rstr7Ux&#10;OQVjt74ykW0gD0H5MiUC/iMsV1kC9mOcJGucjl6BfOkkS7tA6jh6FDy3YJXkzCh6Q9kiPKgTaHOM&#10;TFGD68w/oqm6cdREFnaUMltrL3dF4eKnOy9t7uczD9Xv+5J9fJO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7UyPDXAAAABwEAAA8AAAAAAAAAAQAgAAAAIgAAAGRycy9kb3ducmV2LnhtbFBLAQIU&#10;ABQAAAAIAIdO4kCYHih+9AEAANsDAAAOAAAAAAAAAAEAIAAAACYBAABkcnMvZTJvRG9jLnhtbFBL&#10;BQYAAAAABgAGAFkBAACM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3615055</wp:posOffset>
                      </wp:positionH>
                      <wp:positionV relativeFrom="paragraph">
                        <wp:posOffset>7620</wp:posOffset>
                      </wp:positionV>
                      <wp:extent cx="3175" cy="541655"/>
                      <wp:effectExtent l="6350" t="0" r="9525" b="10795"/>
                      <wp:wrapNone/>
                      <wp:docPr id="82" name="直接连接符 82"/>
                      <wp:cNvGraphicFramePr/>
                      <a:graphic xmlns:a="http://schemas.openxmlformats.org/drawingml/2006/main">
                        <a:graphicData uri="http://schemas.microsoft.com/office/word/2010/wordprocessingShape">
                          <wps:wsp>
                            <wps:cNvCnPr/>
                            <wps:spPr>
                              <a:xfrm flipH="1">
                                <a:off x="0" y="0"/>
                                <a:ext cx="3175" cy="541655"/>
                              </a:xfrm>
                              <a:prstGeom prst="line">
                                <a:avLst/>
                              </a:prstGeom>
                              <a:ln w="12700" cap="flat" cmpd="sng">
                                <a:solidFill>
                                  <a:srgbClr val="000000"/>
                                </a:solidFill>
                                <a:prstDash val="dash"/>
                                <a:headEnd type="none" w="med" len="med"/>
                                <a:tailEnd type="none" w="med" len="med"/>
                              </a:ln>
                            </wps:spPr>
                            <wps:bodyPr/>
                          </wps:wsp>
                        </a:graphicData>
                      </a:graphic>
                    </wp:anchor>
                  </w:drawing>
                </mc:Choice>
                <mc:Fallback>
                  <w:pict>
                    <v:line id="_x0000_s1026" o:spid="_x0000_s1026" o:spt="20" style="position:absolute;left:0pt;flip:x;margin-left:284.65pt;margin-top:0.6pt;height:42.65pt;width:0.25pt;z-index:251678720;mso-width-relative:page;mso-height-relative:page;" filled="f" stroked="t" coordsize="21600,21600" o:gfxdata="UEsDBAoAAAAAAIdO4kAAAAAAAAAAAAAAAAAEAAAAZHJzL1BLAwQUAAAACACHTuJAuSrtftUAAAAI&#10;AQAADwAAAGRycy9kb3ducmV2LnhtbE2PMU/DMBSEdyT+g/WQ2KidoEZtiNMBlQGhDpQsbG78SALx&#10;c7DdtP33PCYYT3f67q7anN0oZgxx8KQhWygQSK23A3UamrenuxWImAxZM3pCDReMsKmvrypTWn+i&#10;V5z3qRMMoVgaDX1KUyllbHt0Ji78hMTehw/OJJahkzaYE8PdKHOlCunMQNzQmwkfe2y/9kfHlEx9&#10;0k7SOh+e37ehm5vm5Xur9e1Nph5AJDynvzD8zufpUPOmgz+SjWLUsCzW9xxlIwfBPmu+ctCwKpYg&#10;60r+P1D/AFBLAwQUAAAACACHTuJAIus4H/gBAADmAwAADgAAAGRycy9lMm9Eb2MueG1srVPNbhMx&#10;EL4j8Q6W72STQNpqlU0PDYUDgkjQB5jY3qwl/8njZpOX4AWQuMGJI/e+DeUxOvaGAOWSAz5Y45nx&#10;N/N9Hs8vd9awrYqovWv4ZDTmTDnhpXabht98uH52wRkmcBKMd6rhe4X8cvH0ybwPtZr6zhupIiMQ&#10;h3UfGt6lFOqqQtEpCzjyQTkKtj5aSHSMm0pG6Andmmo6Hp9VvY8yRC8UInmXQ5AfEOMpgL5ttVBL&#10;L26tcmlAjcpAIkrY6YB8UbptWyXSu7ZFlZhpODFNZaciZK/zXi3mUG8ihE6LQwtwSguPOFnQjooe&#10;oZaQgN1G/Q+U1SJ69G0aCW+rgUhRhFhMxo+0ed9BUIULSY3hKDr+P1jxdruKTMuGX0w5c2Dpxe8/&#10;ff/x8cvPu8+033/7yihCMvUBa8q+cqt4OGFYxcx510bLWqPDa5qnogLxYrsi8v4ostolJsj5fHI+&#10;40xQYPZicjabZexqAMlgIWJ6pbxl2Wi40S4rADVs32AaUn+lZLdxrKeq0/MxvagAmseW5oBMG4gT&#10;uk25jN5oea2NyVcwbtZXJrIt5Jko69DDX2m5yhKwG/IkWTkL6k6BfOkkS/tAWjn6Izy3YJXkzCj6&#10;UtkqmQm0OSWT2BtHImSFB02ztfZyX6Qufnr+ItNhVPN8/Xkut39/z8U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SrtftUAAAAIAQAADwAAAAAAAAABACAAAAAiAAAAZHJzL2Rvd25yZXYueG1sUEsB&#10;AhQAFAAAAAgAh07iQCLrOB/4AQAA5gMAAA4AAAAAAAAAAQAgAAAAJAEAAGRycy9lMm9Eb2MueG1s&#10;UEsFBgAAAAAGAAYAWQEAAI4FAAAAAA==&#10;">
                      <v:fill on="f" focussize="0,0"/>
                      <v:stroke weight="1pt" color="#000000" joinstyle="round" dashstyle="dash"/>
                      <v:imagedata o:title=""/>
                      <o:lock v:ext="edit" aspectratio="f"/>
                    </v:lin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1401445</wp:posOffset>
                      </wp:positionH>
                      <wp:positionV relativeFrom="paragraph">
                        <wp:posOffset>57785</wp:posOffset>
                      </wp:positionV>
                      <wp:extent cx="236855" cy="0"/>
                      <wp:effectExtent l="0" t="38100" r="10795" b="38100"/>
                      <wp:wrapNone/>
                      <wp:docPr id="78" name="直接连接符 78"/>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10.35pt;margin-top:4.55pt;height:0pt;width:18.65pt;z-index:251683840;mso-width-relative:page;mso-height-relative:page;" filled="f" stroked="t" coordsize="21600,21600" o:gfxdata="UEsDBAoAAAAAAIdO4kAAAAAAAAAAAAAAAAAEAAAAZHJzL1BLAwQUAAAACACHTuJA8rOWDdUAAAAH&#10;AQAADwAAAGRycy9kb3ducmV2LnhtbE2PS0/DMBCE70j8B2uRuFE7kaBpiFOhSkioHCpKuDvx5iHi&#10;dRS7r3/PwoUeRzOa+aZYn90ojjiHwZOGZKFAIDXeDtRpqD5fHzIQIRqyZvSEGi4YYF3e3hQmt/5E&#10;H3jcx05wCYXcaOhjnHIpQ9OjM2HhJyT2Wj87E1nOnbSzOXG5G2Wq1JN0ZiBe6M2Emx6b7/3BadjW&#10;u9Vb9u5flG932+yyrL42baX1/V2inkFEPMf/MPziMzqUzFT7A9kgRg1pqpYc1bBKQLCfPmb8rf7T&#10;sizkNX/5A1BLAwQUAAAACACHTuJAFk6//PYBAADdAwAADgAAAGRycy9lMm9Eb2MueG1srVPNbhMx&#10;EL4j8Q6W72TToP5olU0PDeWCIBLwABPbu2vJf/K42eQleAEkbnDiyJ23oTwGY2+a0JZDD+zBO7Zn&#10;vpnvm/H8cmsN26iI2ruGn0ymnCknvNSua/jHD9cvLjjDBE6C8U41fKeQXy6eP5sPoVYz33sjVWQE&#10;4rAeQsP7lEJdVSh6ZQEnPihHl62PFhJtY1fJCAOhW1PNptOzavBRhuiFQqTT5XjJ94jxKYC+bbVQ&#10;Sy9urHJpRI3KQCJK2OuAfFGqbVsl0ru2RZWYaTgxTWWlJGSv81ot5lB3EUKvxb4EeEoJDzhZ0I6S&#10;HqCWkIDdRP0IymoRPfo2TYS31UikKEIsTqYPtHnfQ1CFC0mN4SA6/j9Y8XazikzLhp9T3x1Y6vjt&#10;5x+/Pn39/fMLrbffvzG6IZmGgDV5X7lV3O8wrGLmvG2jzX9iw7ZF2t1BWrVNTNDh7OXZxekpZ+Lu&#10;qjrGhYjptfKWZaPhRrtMGmrYvMFEucj1ziUfG8cGGtzZ+ZSaKIBGsKXWk2kD0UDXlWD0RstrbUwO&#10;wditr0xkG8hjUL5MiYDvueUsS8B+9JNkjfPRK5CvnGRpF0ieFDW4ziiey7BKcmYUvaRsESbUCbQ5&#10;ejt6RP/2pOzGURFZ2FHKbK293BWFyzl1vZS5n9A8Vn/vS/TxVS7+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Kzlg3VAAAABwEAAA8AAAAAAAAAAQAgAAAAIgAAAGRycy9kb3ducmV2LnhtbFBLAQIU&#10;ABQAAAAIAIdO4kAWTr/89gEAAN0DAAAOAAAAAAAAAAEAIAAAACQBAABkcnMvZTJvRG9jLnhtbFBL&#10;BQYAAAAABgAGAFkBAACMBQAAAAA=&#10;">
                      <v:fill on="f" focussize="0,0"/>
                      <v:stroke weight="1pt" color="#000000" joinstyle="round" dashstyle="dash" startarrow="block"/>
                      <v:imagedata o:title=""/>
                      <o:lock v:ext="edit" aspectratio="f"/>
                    </v:lin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1630045</wp:posOffset>
                      </wp:positionH>
                      <wp:positionV relativeFrom="paragraph">
                        <wp:posOffset>63500</wp:posOffset>
                      </wp:positionV>
                      <wp:extent cx="635" cy="622300"/>
                      <wp:effectExtent l="6350" t="0" r="12065" b="6350"/>
                      <wp:wrapNone/>
                      <wp:docPr id="83" name="直接连接符 83"/>
                      <wp:cNvGraphicFramePr/>
                      <a:graphic xmlns:a="http://schemas.openxmlformats.org/drawingml/2006/main">
                        <a:graphicData uri="http://schemas.microsoft.com/office/word/2010/wordprocessingShape">
                          <wps:wsp>
                            <wps:cNvCnPr/>
                            <wps:spPr>
                              <a:xfrm>
                                <a:off x="0" y="0"/>
                                <a:ext cx="635" cy="622300"/>
                              </a:xfrm>
                              <a:prstGeom prst="line">
                                <a:avLst/>
                              </a:prstGeom>
                              <a:ln w="12700" cap="flat" cmpd="sng">
                                <a:solidFill>
                                  <a:srgbClr val="000000"/>
                                </a:solidFill>
                                <a:prstDash val="dash"/>
                                <a:headEnd type="none" w="med" len="med"/>
                                <a:tailEnd type="none" w="med" len="med"/>
                              </a:ln>
                            </wps:spPr>
                            <wps:bodyPr/>
                          </wps:wsp>
                        </a:graphicData>
                      </a:graphic>
                    </wp:anchor>
                  </w:drawing>
                </mc:Choice>
                <mc:Fallback>
                  <w:pict>
                    <v:line id="_x0000_s1026" o:spid="_x0000_s1026" o:spt="20" style="position:absolute;left:0pt;margin-left:128.35pt;margin-top:5pt;height:49pt;width:0.05pt;z-index:251682816;mso-width-relative:page;mso-height-relative:page;" filled="f" stroked="t" coordsize="21600,21600" o:gfxdata="UEsDBAoAAAAAAIdO4kAAAAAAAAAAAAAAAAAEAAAAZHJzL1BLAwQUAAAACACHTuJATHTtndMAAAAK&#10;AQAADwAAAGRycy9kb3ducmV2LnhtbE2PwU7DMBBE70j8g7VIXBC1G4nQhjgVqlTulAquTryNI+K1&#10;Fbtt+Hu2JzjuzNPsTL2Z/SjOOKUhkIblQoFA6oIdqNdw+Ng9rkCkbMiaMRBq+MEEm+b2pjaVDRd6&#10;x/M+94JDKFVGg8s5VlKmzqE3aREiEnvHMHmT+Zx6aSdz4XA/ykKpUnozEH9wJuLWYfe9P3kNM+3i&#10;ugxYfBXt1kV8ffP54VPr+7ulegGRcc5/MFzrc3VouFMbTmSTGDUUT+Uzo2wo3sQAC7ylvQorBbKp&#10;5f8JzS9QSwMEFAAAAAgAh07iQFpjml7wAQAA2wMAAA4AAABkcnMvZTJvRG9jLnhtbK1TvY4TMRDu&#10;kXgHyz3Z3EaE0yqbKy4cDYJIwANMbG/Wkv/k8WWTl+AFkOigoqTnbbh7DMbekIOjScEW3vF45pv5&#10;Po8XV3tr2E5F1N61/GIy5Uw54aV225Z/eH/z7JIzTOAkGO9Uyw8K+dXy6ZPFEBpV+94bqSIjEIfN&#10;EFrepxSaqkLRKws48UE5Oux8tJBoG7eVjDAQujVVPZ3Oq8FHGaIXCpG8q/GQHxHjOYC+67RQKy9u&#10;rXJpRI3KQCJK2OuAfFm67Tol0tuuQ5WYaTkxTWWlImRv8lotF9BsI4Rei2MLcE4LjzhZ0I6KnqBW&#10;kIDdRv0PlNUievRdmghvq5FIUYRYXEwfafOuh6AKF5Iaw0l0/H+w4s1uHZmWLb+ccebA0o3fffr+&#10;8+OX+x+fab379pXRCck0BGwo+tqt43GHYR0z530Xbf4TG7Yv0h5O0qp9YoKc89lzzgT553U9mxbd&#10;q4fMEDG9Ut6ybLTcaJdpQwO715ioGoX+Dslu49hAo1u/ICAmgIawo8sn0wYigm5bktEbLW+0MTkF&#10;43ZzbSLbQR6E8mVSBPxXWK6yAuzHOEnWOCG9AvnSSZYOgQRy9DB4bsEqyZlR9I6yRXjQJNDmnEiq&#10;bBw1kGUdhczWxstD0bf46c5Li8f5zEP1575kP7zJ5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M&#10;dO2d0wAAAAoBAAAPAAAAAAAAAAEAIAAAACIAAABkcnMvZG93bnJldi54bWxQSwECFAAUAAAACACH&#10;TuJAWmOaXvABAADbAwAADgAAAAAAAAABACAAAAAiAQAAZHJzL2Uyb0RvYy54bWxQSwUGAAAAAAYA&#10;BgBZAQAAhAUAAAAA&#10;">
                      <v:fill on="f" focussize="0,0"/>
                      <v:stroke weight="1pt" color="#000000" joinstyle="round" dashstyle="dash"/>
                      <v:imagedata o:title=""/>
                      <o:lock v:ext="edit" aspectratio="f"/>
                    </v:lin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2082800</wp:posOffset>
                      </wp:positionH>
                      <wp:positionV relativeFrom="paragraph">
                        <wp:posOffset>215265</wp:posOffset>
                      </wp:positionV>
                      <wp:extent cx="769620" cy="302260"/>
                      <wp:effectExtent l="6350" t="6350" r="24130" b="15240"/>
                      <wp:wrapNone/>
                      <wp:docPr id="79" name="文本框 79"/>
                      <wp:cNvGraphicFramePr/>
                      <a:graphic xmlns:a="http://schemas.openxmlformats.org/drawingml/2006/main">
                        <a:graphicData uri="http://schemas.microsoft.com/office/word/2010/wordprocessingShape">
                          <wps:wsp>
                            <wps:cNvSpPr txBox="1"/>
                            <wps:spPr>
                              <a:xfrm>
                                <a:off x="0" y="0"/>
                                <a:ext cx="769620" cy="302260"/>
                              </a:xfrm>
                              <a:prstGeom prst="rect">
                                <a:avLst/>
                              </a:prstGeom>
                              <a:noFill/>
                              <a:ln w="12700" cap="flat" cmpd="sng">
                                <a:solidFill>
                                  <a:srgbClr val="000000"/>
                                </a:solidFill>
                                <a:prstDash val="solid"/>
                                <a:miter/>
                                <a:headEnd type="none" w="med" len="med"/>
                                <a:tailEnd type="none" w="med" len="med"/>
                              </a:ln>
                            </wps:spPr>
                            <wps:txbx>
                              <w:txbxContent>
                                <w:p>
                                  <w:pPr>
                                    <w:pStyle w:val="20"/>
                                    <w:rPr>
                                      <w:szCs w:val="21"/>
                                    </w:rPr>
                                  </w:pPr>
                                  <w:r>
                                    <w:rPr>
                                      <w:rFonts w:hint="eastAsia"/>
                                      <w:szCs w:val="21"/>
                                    </w:rPr>
                                    <w:t>钻井工程</w:t>
                                  </w:r>
                                </w:p>
                              </w:txbxContent>
                            </wps:txbx>
                            <wps:bodyPr upright="1"/>
                          </wps:wsp>
                        </a:graphicData>
                      </a:graphic>
                    </wp:anchor>
                  </w:drawing>
                </mc:Choice>
                <mc:Fallback>
                  <w:pict>
                    <v:shape id="_x0000_s1026" o:spid="_x0000_s1026" o:spt="202" type="#_x0000_t202" style="position:absolute;left:0pt;margin-left:164pt;margin-top:16.95pt;height:23.8pt;width:60.6pt;z-index:251671552;mso-width-relative:page;mso-height-relative:page;" filled="f" stroked="t" coordsize="21600,21600" o:gfxdata="UEsDBAoAAAAAAIdO4kAAAAAAAAAAAAAAAAAEAAAAZHJzL1BLAwQUAAAACACHTuJALHvpQ9cAAAAJ&#10;AQAADwAAAGRycy9kb3ducmV2LnhtbE2PzU7DMBCE70i8g7VI3KjzV5SGOBUC5YgQgQdw4m0cEduR&#10;7bbJ27Oc4DarGc1+Ux9XM7ML+jA5KyDdJcDQDk5NdhTw9dk+lMBClFbJ2VkUsGGAY3N7U8tKuav9&#10;wEsXR0YlNlRSgI5xqTgPg0Yjw84taMk7OW9kpNOPXHl5pXIz8yxJHrmRk6UPWi74onH47s5GwJpt&#10;us3d8PpcdHo7vZd9+7b3QtzfpckTsIhr/AvDLz6hQ0NMvTtbFdgsIM9K2hJJ5AdgFCiKQwasF1Cm&#10;e+BNzf8vaH4AUEsDBBQAAAAIAIdO4kDHHyqEBgIAAA8EAAAOAAAAZHJzL2Uyb0RvYy54bWytU82O&#10;0zAQviPxDpbvNNkgtWzVdCUoywUB0sIDuP5JLPlPHrdJXwDegBMX7jxXn4Ox0+3C7qWHzSGZzIy/&#10;me+b8epmtIbsZQTtXUuvZjUl0nEvtOta+u3r7as3lEBiTjDjnWzpQQK9Wb98sRrCUja+90bISBDE&#10;wXIILe1TCsuqAt5Ly2Dmg3QYVD5alvA3dpWIbEB0a6qmrufV4KMI0XMJgN7NFKQnxHgJoFdKc7nx&#10;fGelSxNqlIYlpAS9DkDXpVulJE+flQKZiGkpMk3ljUXQ3uZ3tV6xZRdZ6DU/tcAuaeERJ8u0w6Jn&#10;qA1LjOyifgJlNY8evEoz7m01ESmKIIur+pE2dz0LsnBBqSGcRYfng+Wf9l8i0aKli2tKHLM48ePP&#10;H8dff46/vxP0oUBDgCXm3QXMTONbP+La3PsBnZn3qKLNX2REMI7yHs7yyjERjs7F/HreYIRj6HXd&#10;NPMif/VwOERIH6S3JBstjTi9Iirbf4SEjWDqfUqu5fytNqZM0DgyYFfNos74DNdS4TqgaQNSA9cV&#10;HPBGi3wmn4bYbd+ZSPYsr0Z5Mims8V9aLrhh0E95JTQtjdVJxlK8l0y8d4KkQ0D1HN4amruxUlBi&#10;JF6ybJXMxLS5JBObMA57ycpPCmcrjdsRYbK59eKA09iFqLsepSrzKOm4J4XEaafzIv77X0Af7vH6&#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x76UPXAAAACQEAAA8AAAAAAAAAAQAgAAAAIgAAAGRy&#10;cy9kb3ducmV2LnhtbFBLAQIUABQAAAAIAIdO4kDHHyqEBgIAAA8EAAAOAAAAAAAAAAEAIAAAACYB&#10;AABkcnMvZTJvRG9jLnhtbFBLBQYAAAAABgAGAFkBAACeBQAAAAA=&#10;">
                      <v:fill on="f" focussize="0,0"/>
                      <v:stroke weight="1pt" color="#000000" joinstyle="miter"/>
                      <v:imagedata o:title=""/>
                      <o:lock v:ext="edit" aspectratio="f"/>
                      <v:textbox>
                        <w:txbxContent>
                          <w:p>
                            <w:pPr>
                              <w:pStyle w:val="20"/>
                              <w:rPr>
                                <w:szCs w:val="21"/>
                              </w:rPr>
                            </w:pPr>
                            <w:r>
                              <w:rPr>
                                <w:rFonts w:hint="eastAsia"/>
                                <w:szCs w:val="21"/>
                              </w:rPr>
                              <w:t>钻井工程</w:t>
                            </w:r>
                          </w:p>
                        </w:txbxContent>
                      </v:textbox>
                    </v:shape>
                  </w:pict>
                </mc:Fallback>
              </mc:AlternateContent>
            </w:r>
          </w:p>
          <w:p>
            <w:pPr>
              <w:ind w:firstLine="420"/>
              <w:jc w:val="left"/>
              <w:rPr>
                <w:b/>
                <w:sz w:val="21"/>
                <w:szCs w:val="21"/>
              </w:rPr>
            </w:pPr>
            <w:r>
              <w:rPr>
                <w:sz w:val="21"/>
              </w:rPr>
              <mc:AlternateContent>
                <mc:Choice Requires="wps">
                  <w:drawing>
                    <wp:anchor distT="0" distB="0" distL="114300" distR="114300" simplePos="0" relativeHeight="251689984" behindDoc="0" locked="0" layoutInCell="1" allowOverlap="1">
                      <wp:simplePos x="0" y="0"/>
                      <wp:positionH relativeFrom="column">
                        <wp:posOffset>3892550</wp:posOffset>
                      </wp:positionH>
                      <wp:positionV relativeFrom="paragraph">
                        <wp:posOffset>168275</wp:posOffset>
                      </wp:positionV>
                      <wp:extent cx="937895" cy="276225"/>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937895" cy="276225"/>
                              </a:xfrm>
                              <a:prstGeom prst="rect">
                                <a:avLst/>
                              </a:prstGeom>
                              <a:noFill/>
                              <a:ln w="12700">
                                <a:noFill/>
                              </a:ln>
                            </wps:spPr>
                            <wps:txbx>
                              <w:txbxContent>
                                <w:p>
                                  <w:pPr>
                                    <w:ind w:firstLine="0" w:firstLineChars="0"/>
                                    <w:rPr>
                                      <w:color w:val="000000"/>
                                    </w:rPr>
                                  </w:pPr>
                                  <w:r>
                                    <w:rPr>
                                      <w:rFonts w:hint="eastAsia"/>
                                      <w:color w:val="000000"/>
                                      <w:sz w:val="21"/>
                                      <w:szCs w:val="21"/>
                                    </w:rPr>
                                    <w:t>废弃防渗膜</w:t>
                                  </w:r>
                                </w:p>
                              </w:txbxContent>
                            </wps:txbx>
                            <wps:bodyPr upright="1"/>
                          </wps:wsp>
                        </a:graphicData>
                      </a:graphic>
                    </wp:anchor>
                  </w:drawing>
                </mc:Choice>
                <mc:Fallback>
                  <w:pict>
                    <v:shape id="_x0000_s1026" o:spid="_x0000_s1026" o:spt="202" type="#_x0000_t202" style="position:absolute;left:0pt;margin-left:306.5pt;margin-top:13.25pt;height:21.75pt;width:73.85pt;z-index:251689984;mso-width-relative:page;mso-height-relative:page;" filled="f" stroked="f" coordsize="21600,21600" o:gfxdata="UEsDBAoAAAAAAIdO4kAAAAAAAAAAAAAAAAAEAAAAZHJzL1BLAwQUAAAACACHTuJAZ33ovtcAAAAJ&#10;AQAADwAAAGRycy9kb3ducmV2LnhtbE2PMU/DQAyFdyT+w8lIbPQuqUgh5FIBEgNDBwrsTuImUXO+&#10;kLumhV+Pmehmy+89f69Yn9ygZppC79lCsjCgiGvf9Nxa+Hh/ubkDFSJyg4NnsvBNAdbl5UWBeeOP&#10;/EbzNrZKQjjkaKGLccy1DnVHDsPCj8Ry2/nJYZR1anUz4VHC3aBTYzLtsGf50OFIzx3V++3BCcb8&#10;WS3v46MPYbNLn15/cFPtv6y9vkrMA6hIp/gvhj988UApTJU/cBPUYCFLltIlWkizW1AiWGVmBaqS&#10;wRjQZaHPG5S/UEsDBBQAAAAIAIdO4kCFuT7MtwEAAFkDAAAOAAAAZHJzL2Uyb0RvYy54bWytU0Fu&#10;2zAQvBfIHwjeYykqYieC5QCFkVyCtkDaB9AUZREguQSXtuQPtD/oqZfe+y6/o0vKcYr0kkMvFLm7&#10;nJ2ZpZZ3ozVsrwJqcA2/mpWcKSeh1W7b8K9f7i9vOMMoXCsMONXwg0J+t7p4txx8rSrowbQqMAJx&#10;WA++4X2Mvi4KlL2yAmfglaNkB8GKSMewLdogBkK3pqjKcl4MEFofQCpEiq6nJD8hhrcAQtdpqdYg&#10;d1a5OKEGZUQkSdhrj3yV2XadkvFT16GKzDSclMa8UhPab9JarJai3gbhey1PFMRbKLzSZIV21PQM&#10;tRZRsF3Q/0BZLQMgdHEmwRaTkOwIqbgqX3nz1AuvshayGv3ZdPx/sPLj/nNgum34Ys6ZE5Ymfvzx&#10;/fjz9/HXN0YxMmjwWFPdk6fKOH6AkZ7NcxwpmHSPXbDpS4oY5cnew9leNUYmKXj7fnFze82ZpFS1&#10;mFfVdUIpXi77gPFBgWVp0/BA08umiv0jxqn0uST1cnCvjckTNI4NxKpalGW+cU4RunHUJGmYuKZd&#10;HDfjSdgG2gPp2vmgtz01zcpyOTme2Z1eRxrp3+cM+vJHrP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33ovtcAAAAJAQAADwAAAAAAAAABACAAAAAiAAAAZHJzL2Rvd25yZXYueG1sUEsBAhQAFAAA&#10;AAgAh07iQIW5Psy3AQAAWQMAAA4AAAAAAAAAAQAgAAAAJgEAAGRycy9lMm9Eb2MueG1sUEsFBgAA&#10;AAAGAAYAWQEAAE8FAAAAAA==&#10;">
                      <v:fill on="f" focussize="0,0"/>
                      <v:stroke on="f" weight="1pt"/>
                      <v:imagedata o:title=""/>
                      <o:lock v:ext="edit" aspectratio="f"/>
                      <v:textbox>
                        <w:txbxContent>
                          <w:p>
                            <w:pPr>
                              <w:ind w:firstLine="0" w:firstLineChars="0"/>
                              <w:rPr>
                                <w:color w:val="000000"/>
                              </w:rPr>
                            </w:pPr>
                            <w:r>
                              <w:rPr>
                                <w:rFonts w:hint="eastAsia"/>
                                <w:color w:val="000000"/>
                                <w:sz w:val="21"/>
                                <w:szCs w:val="21"/>
                              </w:rPr>
                              <w:t>废弃防渗膜</w:t>
                            </w:r>
                          </w:p>
                        </w:txbxContent>
                      </v:textbox>
                    </v:shape>
                  </w:pict>
                </mc:Fallback>
              </mc:AlternateContent>
            </w:r>
            <w:r>
              <w:rPr>
                <w:sz w:val="21"/>
              </w:rPr>
              <mc:AlternateContent>
                <mc:Choice Requires="wps">
                  <w:drawing>
                    <wp:anchor distT="0" distB="0" distL="114300" distR="114300" simplePos="0" relativeHeight="251718656" behindDoc="0" locked="0" layoutInCell="1" allowOverlap="1">
                      <wp:simplePos x="0" y="0"/>
                      <wp:positionH relativeFrom="column">
                        <wp:posOffset>3644265</wp:posOffset>
                      </wp:positionH>
                      <wp:positionV relativeFrom="paragraph">
                        <wp:posOffset>64135</wp:posOffset>
                      </wp:positionV>
                      <wp:extent cx="236855" cy="0"/>
                      <wp:effectExtent l="0" t="38100" r="10795" b="38100"/>
                      <wp:wrapNone/>
                      <wp:docPr id="77" name="直接连接符 77"/>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86.95pt;margin-top:5.05pt;height:0pt;width:18.65pt;z-index:251718656;mso-width-relative:page;mso-height-relative:page;" filled="f" stroked="t" coordsize="21600,21600" o:gfxdata="UEsDBAoAAAAAAIdO4kAAAAAAAAAAAAAAAAAEAAAAZHJzL1BLAwQUAAAACACHTuJATYvfddgAAAAJ&#10;AQAADwAAAGRycy9kb3ducmV2LnhtbE2PTUsDMRCG74L/IYzgRWySSquumy1SKFIQxOrFWzaZ7i5u&#10;Jusm/dBf74gHPc68D+88Uy6OoRd7HFMXyYCeKBBILvqOGgOvL6vLGxApW/K2j4QGPjHBojo9KW3h&#10;44Gecb/JjeASSoU10OY8FFIm12KwaRIHJM62cQw28zg20o/2wOWhl1Ol5jLYjvhCawdctujeN7tg&#10;4P7R1eFpQKce1m+r7fJjdvFFa2POz7S6A5HxmP9g+NFndajYqY478kn0BmbXV7eMcqA0CAbmWk9B&#10;1L8LWZXy/wfVN1BLAwQUAAAACACHTuJAASY8lfUBAADdAwAADgAAAGRycy9lMm9Eb2MueG1srVPN&#10;bhMxEL4j8Q6W72TToDbVKpseGsoFQSTgASa2d9eS/+Rxs8lL8AJI3ODEkTtvQ3kMxt40gSKkHtiD&#10;dzye+Wa+z+PF1c4atlURtXcNP5tMOVNOeKld1/D3726eXXKGCZwE451q+F4hv1o+fbIYQq1mvvdG&#10;qsgIxGE9hIb3KYW6qlD0ygJOfFCODlsfLSTaxq6SEQZCt6aaTacX1eCjDNELhUje1XjID4jxMYC+&#10;bbVQKy9urXJpRI3KQCJK2OuAfFm6bVsl0pu2RZWYaTgxTWWlImRv8lotF1B3EUKvxaEFeEwLDzhZ&#10;0I6KHqFWkIDdRv0XlNUievRtmghvq5FIUYRYnE0faPO2h6AKF5Iaw1F0/H+w4vV2HZmWDZ/POXNg&#10;6cbvPn778eHzz++faL37+oXRCck0BKwp+tqt42GHYR0z510bbf4TG7Yr0u6P0qpdYoKcs+cXl+fn&#10;nIn7o+qUFyKml8pblo2GG+0yaahh+woT1aLQ+5DsNo4NNLiz+ZQuUQCNYEtXT6YNRANdV5LRGy1v&#10;tDE5BWO3uTaRbSGPQfkyJQL+IyxXWQH2Y5wka5yPXoF84SRL+0DyOHoWPLdgleTMKHpF2SI8qBNo&#10;c4pMUYPrzD+iqbpx1EQWdpQyWxsv90Xh4qdbL20eJjSP1e/7kn16lc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YvfddgAAAAJAQAADwAAAAAAAAABACAAAAAiAAAAZHJzL2Rvd25yZXYueG1sUEsB&#10;AhQAFAAAAAgAh07iQAEmPJX1AQAA3QMAAA4AAAAAAAAAAQAgAAAAJwEAAGRycy9lMm9Eb2MueG1s&#10;UEsFBgAAAAAGAAYAWQEAAI4FA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458470</wp:posOffset>
                      </wp:positionH>
                      <wp:positionV relativeFrom="paragraph">
                        <wp:posOffset>1905</wp:posOffset>
                      </wp:positionV>
                      <wp:extent cx="999490" cy="290195"/>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999490" cy="290195"/>
                              </a:xfrm>
                              <a:prstGeom prst="rect">
                                <a:avLst/>
                              </a:prstGeom>
                              <a:noFill/>
                              <a:ln w="12700">
                                <a:noFill/>
                              </a:ln>
                            </wps:spPr>
                            <wps:txbx>
                              <w:txbxContent>
                                <w:p>
                                  <w:pPr>
                                    <w:pStyle w:val="20"/>
                                    <w:rPr>
                                      <w:szCs w:val="21"/>
                                    </w:rPr>
                                  </w:pPr>
                                  <w:r>
                                    <w:rPr>
                                      <w:rFonts w:hint="eastAsia"/>
                                      <w:szCs w:val="21"/>
                                    </w:rPr>
                                    <w:t>柴油燃烧废气</w:t>
                                  </w:r>
                                </w:p>
                              </w:txbxContent>
                            </wps:txbx>
                            <wps:bodyPr upright="1"/>
                          </wps:wsp>
                        </a:graphicData>
                      </a:graphic>
                    </wp:anchor>
                  </w:drawing>
                </mc:Choice>
                <mc:Fallback>
                  <w:pict>
                    <v:shape id="_x0000_s1026" o:spid="_x0000_s1026" o:spt="202" type="#_x0000_t202" style="position:absolute;left:0pt;margin-left:36.1pt;margin-top:0.15pt;height:22.85pt;width:78.7pt;z-index:251686912;mso-width-relative:page;mso-height-relative:page;" filled="f" stroked="f" coordsize="21600,21600" o:gfxdata="UEsDBAoAAAAAAIdO4kAAAAAAAAAAAAAAAAAEAAAAZHJzL1BLAwQUAAAACACHTuJAN6b4s9MAAAAG&#10;AQAADwAAAGRycy9kb3ducmV2LnhtbE2OvU7DMBSFdyTewbpIbNSui0KbxqkAiYGhAwV2J75NosbX&#10;IXbTwtNzmeh4dP6+YnP2vZhwjF0gA/OZAoFUB9dRY+Dj/eVuCSImS872gdDAN0bYlNdXhc1dONEb&#10;TrvUCB6hmFsDbUpDLmWsW/Q2zsKAxN4+jN4mlmMj3WhPPO57qZXKpLcd8UNrB3xusT7sjp4xps9q&#10;sUqPIcbtXj+9/thtdfgy5vZmrtYgEp7Tfxj+8LkDJTNV4Uguit7Ag9acNLAAwa7WqwxEZeA+UyDL&#10;Ql7il79QSwMEFAAAAAgAh07iQE9DFoC1AQAAWQMAAA4AAABkcnMvZTJvRG9jLnhtbK1TS27bMBDd&#10;F+gdCO5ryUY/kWA5QGCkmyItkOYANEVaBEgOwaEt+QLpDbrqpvuey+foiHKcINlkkQ1FzgzfvPeG&#10;Wl4OzrK9imjAN3w+KzlTXkJr/Lbhdz+vP1xwhkn4VljwquEHhfxy9f7dsg+1WkAHtlWREYjHug8N&#10;71IKdVGg7JQTOIOgPCU1RCcSHeO2aKPoCd3ZYlGWn4seYhsiSIVI0fWU5CfE+BpA0NpItQa5c8qn&#10;CTUqKxJJws4E5KvMVmsl03etUSVmG05KU16pCe0341qslqLeRhE6I08UxGsoPNPkhPHU9Ay1Fkmw&#10;XTQvoJyRERB0mklwxSQkO0Iq5uUzb247EVTWQlZjOJuObwcrb/Y/IjNtwy/IEi8cTfz4+9fxz7/j&#10;33tGMTKoD1hT3W2gyjRcwUDP5iGOFBx1Dzq68UuKGOUJ63C2Vw2JSQpWVfWxooyk1KIq59WnEaV4&#10;vBwipq8KHBs3DY80vWyq2H/DNJU+lIy9PFwba/MErWc9sVp8Kct845widOupyahh4jru0rAZTsI2&#10;0B5I1y5Es+2oaVaWy8nxzO70OsaRPj1n0Mc/Yv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6b4&#10;s9MAAAAGAQAADwAAAAAAAAABACAAAAAiAAAAZHJzL2Rvd25yZXYueG1sUEsBAhQAFAAAAAgAh07i&#10;QE9DFoC1AQAAWQMAAA4AAAAAAAAAAQAgAAAAIgEAAGRycy9lMm9Eb2MueG1sUEsFBgAAAAAGAAYA&#10;WQEAAEkFAAAAAA==&#10;">
                      <v:fill on="f" focussize="0,0"/>
                      <v:stroke on="f" weight="1pt"/>
                      <v:imagedata o:title=""/>
                      <o:lock v:ext="edit" aspectratio="f"/>
                      <v:textbox>
                        <w:txbxContent>
                          <w:p>
                            <w:pPr>
                              <w:pStyle w:val="20"/>
                              <w:rPr>
                                <w:szCs w:val="21"/>
                              </w:rPr>
                            </w:pPr>
                            <w:r>
                              <w:rPr>
                                <w:rFonts w:hint="eastAsia"/>
                                <w:szCs w:val="21"/>
                              </w:rPr>
                              <w:t>柴油燃烧废气</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1401445</wp:posOffset>
                      </wp:positionH>
                      <wp:positionV relativeFrom="paragraph">
                        <wp:posOffset>149860</wp:posOffset>
                      </wp:positionV>
                      <wp:extent cx="236855" cy="0"/>
                      <wp:effectExtent l="0" t="38100" r="10795" b="38100"/>
                      <wp:wrapNone/>
                      <wp:docPr id="87" name="直接连接符 87"/>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10.35pt;margin-top:11.8pt;height:0pt;width:18.65pt;z-index:251684864;mso-width-relative:page;mso-height-relative:page;" filled="f" stroked="t" coordsize="21600,21600" o:gfxdata="UEsDBAoAAAAAAIdO4kAAAAAAAAAAAAAAAAAEAAAAZHJzL1BLAwQUAAAACACHTuJAYwlPj9cAAAAJ&#10;AQAADwAAAGRycy9kb3ducmV2LnhtbE2PS0/DMBCE70j8B2uRuFG7QbRpGqdClZBQOVSUcHfizUPE&#10;6yh2X/+eRRzgtrszmv0m31zcIE44hd6ThvlMgUCqve2p1VB+vDykIEI0ZM3gCTVcMcCmuL3JTWb9&#10;md7xdIit4BAKmdHQxThmUoa6Q2fCzI9IrDV+cibyOrXSTubM4W6QiVIL6UxP/KEzI247rL8OR6dh&#10;V+1Xr+mbf1a+2e/S67L83Dal1vd3c7UGEfES/8zwg8/oUDBT5Y9kgxg0JIlaspWHxwUINiRPKZer&#10;fg+yyOX/BsU3UEsDBBQAAAAIAIdO4kA1ireJ9gEAAN0DAAAOAAAAZHJzL2Uyb0RvYy54bWytU81u&#10;EzEQviPxDpbvZNOgttEqmx4aygVBJOABJrZ315L/5HGzyUvwAkjc4MSRO29DeQzG3jSBwqEH9uAd&#10;j2e+me/zeHG1s4ZtVUTtXcPPJlPOlBNeatc1/P27m2dzzjCBk2C8Uw3fK+RXy6dPFkOo1cz33kgV&#10;GYE4rIfQ8D6lUFcVil5ZwIkPytFh66OFRNvYVTLCQOjWVLPp9KIafJQheqEQybsaD/kBMT4G0Let&#10;Fmrlxa1VLo2oURlIRAl7HZAvS7dtq0R607aoEjMNJ6aprFSE7E1eq+UC6i5C6LU4tACPaeEBJwva&#10;UdEj1AoSsNuo/4KyWkSPvk0T4W01EimKEIuz6QNt3vYQVOFCUmM4io7/D1a83q4j07Lh80vOHFi6&#10;8buP3358+Pzz+yda775+YXRCMg0Ba4q+dut42GFYx8x510ab/8SG7Yq0+6O0apeYIOfs+cX8/Jwz&#10;cX9UnfJCxPRSecuy0XCjXSYNNWxfYaJaFHofkt3GsYEGd3Y5pUsUQCPY0tWTaQPRQNeVZPRGyxtt&#10;TE7B2G2uTWRbyGNQvkyJgP8Iy1VWgP0YJ8ka56NXIF84ydI+kDwpanCdUTy3YZXkzCh6SdkiTKgT&#10;aHOKdvSI/h1J1Y2jJrKwo5TZ2ni5LwoXP916afMwoXmsft+X7NOrX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wlPj9cAAAAJAQAADwAAAAAAAAABACAAAAAiAAAAZHJzL2Rvd25yZXYueG1sUEsB&#10;AhQAFAAAAAgAh07iQDWKt4n2AQAA3QMAAA4AAAAAAAAAAQAgAAAAJgEAAGRycy9lMm9Eb2MueG1s&#10;UEsFBgAAAAAGAAYAWQEAAI4FAAAAAA==&#10;">
                      <v:fill on="f" focussize="0,0"/>
                      <v:stroke weight="1pt" color="#000000" joinstyle="round" dashstyle="dash" startarrow="block"/>
                      <v:imagedata o:title=""/>
                      <o:lock v:ext="edit" aspectratio="f"/>
                    </v:lin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1642110</wp:posOffset>
                      </wp:positionH>
                      <wp:positionV relativeFrom="paragraph">
                        <wp:posOffset>152400</wp:posOffset>
                      </wp:positionV>
                      <wp:extent cx="449580" cy="635"/>
                      <wp:effectExtent l="0" t="38100" r="0" b="37465"/>
                      <wp:wrapNone/>
                      <wp:docPr id="84" name="直接连接符 84"/>
                      <wp:cNvGraphicFramePr/>
                      <a:graphic xmlns:a="http://schemas.openxmlformats.org/drawingml/2006/main">
                        <a:graphicData uri="http://schemas.microsoft.com/office/word/2010/wordprocessingShape">
                          <wps:wsp>
                            <wps:cNvCnPr/>
                            <wps:spPr>
                              <a:xfrm>
                                <a:off x="0" y="0"/>
                                <a:ext cx="449580" cy="635"/>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29.3pt;margin-top:12pt;height:0.05pt;width:35.4pt;z-index:251681792;mso-width-relative:page;mso-height-relative:page;" filled="f" stroked="t" coordsize="21600,21600" o:gfxdata="UEsDBAoAAAAAAIdO4kAAAAAAAAAAAAAAAAAEAAAAZHJzL1BLAwQUAAAACACHTuJACGv25dgAAAAJ&#10;AQAADwAAAGRycy9kb3ducmV2LnhtbE2PS0/DMBCE70j8B2uRuFEnoZQ0jVOhSkioHCpKenfizUPE&#10;6yh2X/+e7Qluuzuj2W/y9cUO4oST7x0piGcRCKTamZ5aBeX3+1MKwgdNRg+OUMEVPayL+7tcZ8ad&#10;6QtP+9AKDiGfaQVdCGMmpa87tNrP3IjEWuMmqwOvUyvNpM8cbgeZRNFCWt0Tf+j0iJsO65/90SrY&#10;VrvlR/rp3iLX7Lbp9bU8bJpSqceHOFqBCHgJf2a44TM6FMxUuSMZLwYFyUu6YCsPc+7EhudkOQdR&#10;3Q4xyCKX/xsUv1BLAwQUAAAACACHTuJAs+plcvYBAADfAwAADgAAAGRycy9lMm9Eb2MueG1srVNL&#10;jhMxEN0jcQfLe9KZkBlCK51ZTBg2CCIBB6jY7rQl/+TypJNLcAEkdrBiyX5uw3AMyu6QwMBiFvTC&#10;XbZfPdd7Ls8vd9awrYqovWv42WjMmXLCS+02DX//7vrJjDNM4CQY71TD9wr55eLxo3kfajXxnTdS&#10;RUYkDus+NLxLKdRVhaJTFnDkg3K02fpoIdE0bioZoSd2a6rJeHxR9T7KEL1QiLS6HDb5gTE+hNC3&#10;rRZq6cWNVS4NrFEZSCQJOx2QL0q1batEetO2qBIzDSelqYx0CMXrPFaLOdSbCKHT4lACPKSEe5os&#10;aEeHHqmWkIDdRP0XldUievRtGglvq0FIcYRUnI3vefO2g6CKFrIaw9F0/H+04vV2FZmWDZ9NOXNg&#10;6cbvPn77/uHzj9tPNN59/cJoh2zqA9aEvnKreJhhWMWseddGm/+khu2KtfujtWqXmKDF6fT5+YxM&#10;F7R18fQ8E1anzBAxvVTeshw03GiXZUMN21eYBugvSF42jvXUupNn48wI1IQtXT6FNpAQdJuSjN5o&#10;ea2NySkYN+srE9kWciOU71DDH7B8yhKwG3CSooyCulMgXzjJ0j6QQSlqcBujeC7DKsmZUfSWclTQ&#10;CbQ5oR09o38jyQHjyIhs7WBmjtZe7ovHZZ3uvVh16NHcWL/PS/bpXS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hr9uXYAAAACQEAAA8AAAAAAAAAAQAgAAAAIgAAAGRycy9kb3ducmV2LnhtbFBL&#10;AQIUABQAAAAIAIdO4kCz6mVy9gEAAN8DAAAOAAAAAAAAAAEAIAAAACcBAABkcnMvZTJvRG9jLnht&#10;bFBLBQYAAAAABgAGAFkBAACPBQAAAAA=&#10;">
                      <v:fill on="f" focussize="0,0"/>
                      <v:stroke weight="1pt" color="#000000" joinstyle="round" dashstyle="dash" startarrow="block"/>
                      <v:imagedata o:title=""/>
                      <o:lock v:ext="edit" aspectratio="f"/>
                    </v:lin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2861310</wp:posOffset>
                      </wp:positionH>
                      <wp:positionV relativeFrom="paragraph">
                        <wp:posOffset>138430</wp:posOffset>
                      </wp:positionV>
                      <wp:extent cx="740410" cy="635"/>
                      <wp:effectExtent l="0" t="37465" r="2540" b="38100"/>
                      <wp:wrapNone/>
                      <wp:docPr id="85" name="直接连接符 85"/>
                      <wp:cNvGraphicFramePr/>
                      <a:graphic xmlns:a="http://schemas.openxmlformats.org/drawingml/2006/main">
                        <a:graphicData uri="http://schemas.microsoft.com/office/word/2010/wordprocessingShape">
                          <wps:wsp>
                            <wps:cNvCnPr/>
                            <wps:spPr>
                              <a:xfrm>
                                <a:off x="0" y="0"/>
                                <a:ext cx="740410" cy="635"/>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25.3pt;margin-top:10.9pt;height:0.05pt;width:58.3pt;z-index:251677696;mso-width-relative:page;mso-height-relative:page;" filled="f" stroked="t" coordsize="21600,21600" o:gfxdata="UEsDBAoAAAAAAIdO4kAAAAAAAAAAAAAAAAAEAAAAZHJzL1BLAwQUAAAACACHTuJA7FF9DNoAAAAJ&#10;AQAADwAAAGRycy9kb3ducmV2LnhtbE2PTUvDQBCG74L/YRnBi7S7CSbVmE2RQpGCIFYv3jbZaRLM&#10;zsbs9kN/vdOTHmfm4Z3nLZcnN4gDTqH3pCGZKxBIjbc9tRre39azOxAhGrJm8IQavjHAsrq8KE1h&#10;/ZFe8bCNreAQCoXR0MU4FlKGpkNnwtyPSHzb+cmZyOPUSjuZI4e7QaZK5dKZnvhDZ0Zcddh8bvdO&#10;w+NzU7uXERv1tPlY71Zf2c0PbbS+vkrUA4iIp/gHw1mf1aFip9rvyQYxaLjNVM6ohjThCgxk+SIF&#10;UZ8X9yCrUv5vUP0CUEsDBBQAAAAIAIdO4kAExRnh9wEAAN8DAAAOAAAAZHJzL2Uyb0RvYy54bWyt&#10;U81uEzEQviPxDpbvZDehtNUqmx4aygVBJOABJrY3a8l/8rjZ5CV4ASRucOLInbehPAZjb0igCKkH&#10;9uAdj2e+me/zeH61s4ZtVUTtXcunk5oz5YSX2m1a/u7tzZNLzjCBk2C8Uy3fK+RXi8eP5kNo1Mz3&#10;3kgVGYE4bIbQ8j6l0FQVil5ZwIkPytFh56OFRNu4qWSEgdCtqWZ1fV4NPsoQvVCI5F2Oh/yAGB8C&#10;6LtOC7X04tYql0bUqAwkooS9DsgXpduuUyK97jpUiZmWE9NUVipC9jqv1WIOzSZC6LU4tAAPaeEe&#10;JwvaUdEj1BISsNuo/4KyWkSPvksT4W01EimKEItpfU+bNz0EVbiQ1BiOouP/gxWvtqvItGz55TPO&#10;HFi68bsPX7+///Tj20da7758ZnRCMg0BG4q+dqt42GFYxcx510Wb/8SG7Yq0+6O0apeYIOfFWX02&#10;JdEFHZ0/LYDVKTNETC+UtywbLTfaZdrQwPYlJqpGob9Csts4NtDozi7qjAg0hB1dPpk2EBF0m5KM&#10;3mh5o43JKRg362sT2RbyIJQvkyLgP8JylSVgP8ZJssYJ6RXI506ytA8kkKOHwXMLVknOjKJ3lC3C&#10;gyaBNqfIFDW4jflHNFU3jprI0o5iZmvt5b5oXPx076XNw4zmwfp9X7JP73Lx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xRfQzaAAAACQEAAA8AAAAAAAAAAQAgAAAAIgAAAGRycy9kb3ducmV2Lnht&#10;bFBLAQIUABQAAAAIAIdO4kAExRnh9wEAAN8DAAAOAAAAAAAAAAEAIAAAACkBAABkcnMvZTJvRG9j&#10;LnhtbFBLBQYAAAAABgAGAFkBAACSBQAAAAA=&#10;">
                      <v:fill on="f" focussize="0,0"/>
                      <v:stroke weight="1pt" color="#000000" joinstyle="round" dashstyle="dash" endarrow="block"/>
                      <v:imagedata o:title=""/>
                      <o:lock v:ext="edit" aspectratio="f"/>
                    </v:line>
                  </w:pict>
                </mc:Fallback>
              </mc:AlternateContent>
            </w:r>
          </w:p>
          <w:p>
            <w:pPr>
              <w:ind w:firstLine="420"/>
              <w:jc w:val="left"/>
              <w:rPr>
                <w:b/>
                <w:sz w:val="21"/>
                <w:szCs w:val="21"/>
              </w:rPr>
            </w:pPr>
            <w:r>
              <w:rPr>
                <w:sz w:val="21"/>
              </w:rPr>
              <mc:AlternateContent>
                <mc:Choice Requires="wps">
                  <w:drawing>
                    <wp:anchor distT="0" distB="0" distL="114300" distR="114300" simplePos="0" relativeHeight="251710464" behindDoc="0" locked="0" layoutInCell="1" allowOverlap="1">
                      <wp:simplePos x="0" y="0"/>
                      <wp:positionH relativeFrom="column">
                        <wp:posOffset>4129405</wp:posOffset>
                      </wp:positionH>
                      <wp:positionV relativeFrom="paragraph">
                        <wp:posOffset>187325</wp:posOffset>
                      </wp:positionV>
                      <wp:extent cx="943610" cy="276225"/>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943610" cy="276225"/>
                              </a:xfrm>
                              <a:prstGeom prst="rect">
                                <a:avLst/>
                              </a:prstGeom>
                              <a:noFill/>
                              <a:ln w="12700">
                                <a:noFill/>
                              </a:ln>
                            </wps:spPr>
                            <wps:txbx>
                              <w:txbxContent>
                                <w:p>
                                  <w:pPr>
                                    <w:ind w:firstLine="0" w:firstLineChars="0"/>
                                    <w:rPr>
                                      <w:sz w:val="21"/>
                                      <w:szCs w:val="21"/>
                                    </w:rPr>
                                  </w:pPr>
                                  <w:r>
                                    <w:rPr>
                                      <w:sz w:val="21"/>
                                      <w:szCs w:val="21"/>
                                    </w:rPr>
                                    <w:t>压裂返排液</w:t>
                                  </w:r>
                                </w:p>
                              </w:txbxContent>
                            </wps:txbx>
                            <wps:bodyPr upright="1"/>
                          </wps:wsp>
                        </a:graphicData>
                      </a:graphic>
                    </wp:anchor>
                  </w:drawing>
                </mc:Choice>
                <mc:Fallback>
                  <w:pict>
                    <v:shape id="_x0000_s1026" o:spid="_x0000_s1026" o:spt="202" type="#_x0000_t202" style="position:absolute;left:0pt;margin-left:325.15pt;margin-top:14.75pt;height:21.75pt;width:74.3pt;z-index:251710464;mso-width-relative:page;mso-height-relative:page;" filled="f" stroked="f" coordsize="21600,21600" o:gfxdata="UEsDBAoAAAAAAIdO4kAAAAAAAAAAAAAAAAAEAAAAZHJzL1BLAwQUAAAACACHTuJAiAX/s9gAAAAJ&#10;AQAADwAAAGRycy9kb3ducmV2LnhtbE2PwU7DMAyG70i8Q+RJ3FiyVhtr13QCJA4cdmDA3W28tlqT&#10;lCbrBk+PObGbLX/+/bnYXmwvJhpD552GxVyBIFd707lGw8f7y/0aRIjoDPbekYZvCrAtb28KzI0/&#10;uzea9rERHOJCjhraGIdcylC3ZDHM/UCOZwc/Wozcjo00I5453PYyUWolLXaOL7Q40HNL9XF/sqwx&#10;fVZpFh99CLtD8vT6g7vq+KX13WyhNiAiXeI/DH/6vAMlO1X+5EwQvYbVUqWMakiyJQgGHrJ1BqLi&#10;IlUgy0Jef1D+AlBLAwQUAAAACACHTuJA4IB8lrYBAABZAwAADgAAAGRycy9lMm9Eb2MueG1srVNB&#10;btswELwX6B8I3mvJauMkguUAhZFeirZAkgfQFGURILkEl7bkD6Q/6KmX3vsuv6NLynGK9JJDLxS5&#10;u5ydmaWWN6M1bK8CanANn89KzpST0Gq3bfjD/e27K84wCtcKA041/KCQ36zevlkOvlYV9GBaFRiB&#10;OKwH3/A+Rl8XBcpeWYEz8MpRsoNgRaRj2BZtEAOhW1NUZbkoBgitDyAVIkXXU5KfEMNrAKHrtFRr&#10;kDurXJxQgzIikiTstUe+ymy7Tsn4tetQRWYaTkpjXqkJ7TdpLVZLUW+D8L2WJwriNRReaLJCO2p6&#10;hlqLKNgu6H+grJYBELo4k2CLSUh2hFTMyxfe3PXCq6yFrEZ/Nh3/H6z8sv8WmG4bfrXgzAlLEz/+&#10;+H78+fv465FRjAwaPNZUd+epMo4fYaRn8xRHCibdYxds+pIiRnmy93C2V42RSQpef3i/mFNGUqq6&#10;XFTVRUIpni/7gPGTAsvSpuGBppdNFfvPGKfSp5LUy8GtNiZP0Dg2EKvqsizzjXOK0I2jJknDxDXt&#10;4rgZT8I20B5I184Hve2paVaWy8nxzO70OtJI/z5n0Oc/YvU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iAX/s9gAAAAJAQAADwAAAAAAAAABACAAAAAiAAAAZHJzL2Rvd25yZXYueG1sUEsBAhQAFAAA&#10;AAgAh07iQOCAfJa2AQAAWQMAAA4AAAAAAAAAAQAgAAAAJwEAAGRycy9lMm9Eb2MueG1sUEsFBgAA&#10;AAAGAAYAWQEAAE8FAAAAAA==&#10;">
                      <v:fill on="f" focussize="0,0"/>
                      <v:stroke on="f" weight="1pt"/>
                      <v:imagedata o:title=""/>
                      <o:lock v:ext="edit" aspectratio="f"/>
                      <v:textbox>
                        <w:txbxContent>
                          <w:p>
                            <w:pPr>
                              <w:ind w:firstLine="0" w:firstLineChars="0"/>
                              <w:rPr>
                                <w:sz w:val="21"/>
                                <w:szCs w:val="21"/>
                              </w:rPr>
                            </w:pPr>
                            <w:r>
                              <w:rPr>
                                <w:sz w:val="21"/>
                                <w:szCs w:val="21"/>
                              </w:rPr>
                              <w:t>压裂返排液</w:t>
                            </w:r>
                          </w:p>
                        </w:txbxContent>
                      </v:textbox>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1396365</wp:posOffset>
                      </wp:positionH>
                      <wp:positionV relativeFrom="paragraph">
                        <wp:posOffset>222250</wp:posOffset>
                      </wp:positionV>
                      <wp:extent cx="236855" cy="0"/>
                      <wp:effectExtent l="0" t="38100" r="10795" b="38100"/>
                      <wp:wrapNone/>
                      <wp:docPr id="88" name="直接连接符 88"/>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09.95pt;margin-top:17.5pt;height:0pt;width:18.65pt;z-index:251687936;mso-width-relative:page;mso-height-relative:page;" filled="f" stroked="t" coordsize="21600,21600" o:gfxdata="UEsDBAoAAAAAAIdO4kAAAAAAAAAAAAAAAAAEAAAAZHJzL1BLAwQUAAAACACHTuJAn8S0ZNcAAAAJ&#10;AQAADwAAAGRycy9kb3ducmV2LnhtbE2PTUvDQBCG74L/YRnBm90kUpvEbIoUBKmHYo33TXbygdnZ&#10;kN1+/XtHPNjjzDy887zF+mxHccTZD44UxIsIBFLjzECdgurz9SEF4YMmo0dHqOCCHtbl7U2hc+NO&#10;9IHHfegEh5DPtYI+hCmX0jc9Wu0XbkLiW+tmqwOPcyfNrE8cbkeZRNGTtHog/tDrCTc9Nt/7g1Ww&#10;rXfZW/ruXiLX7rbpZVV9bdpKqfu7OHoGEfAc/mH41Wd1KNmpdgcyXowKkjjLGFXwuORODCTLVQKi&#10;/lvIspDXDcofUEsDBBQAAAAIAIdO4kD0TkUQ9QEAAN0DAAAOAAAAZHJzL2Uyb0RvYy54bWytU81u&#10;EzEQviPxDpbvZNOglmiVTQ8N5YIgEvAAE9u7a8l/8rjZ5CV4ASRucOLInbehfQzG3jSBwqEH9uAd&#10;2zPfzPfNeHG5s4ZtVUTtXcPPJlPOlBNeatc1/MP762dzzjCBk2C8Uw3fK+SXy6dPFkOo1cz33kgV&#10;GYE4rIfQ8D6lUFcVil5ZwIkPytFl66OFRNvYVTLCQOjWVLPp9KIafJQheqEQ6XQ1XvIDYnwMoG9b&#10;LdTKixurXBpRozKQiBL2OiBflmrbVon0tm1RJWYaTkxTWSkJ2Zu8VssF1F2E0GtxKAEeU8IDTha0&#10;o6RHqBUkYDdR/wVltYgefZsmwttqJFIUIRZn0wfavOshqMKFpMZwFB3/H6x4s11HpmXD59R3B5Y6&#10;fvvp+8+PX+5+fKb19ttXRjck0xCwJu8rt46HHYZ1zJx3bbT5T2zYrki7P0qrdokJOpw9v5ifn3Mm&#10;7q+qU1yImF4pb1k2Gm60y6Shhu1rTJSLXO9d8rFxbKDBnb2YUhMF0Ai21HoybSAa6LoSjN5oea2N&#10;ySEYu82ViWwLeQzKlykR8B9uOcsKsB/9JFnjfPQK5EsnWdoHkidFDa4ziucyrJKcGUUvKVuECXUC&#10;bU7ejh7Rvz0pu3FURBZ2lDJbGy/3ReFyTl0vZR4mNI/V7/sSfXqVy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fxLRk1wAAAAkBAAAPAAAAAAAAAAEAIAAAACIAAABkcnMvZG93bnJldi54bWxQSwEC&#10;FAAUAAAACACHTuJA9E5FEPUBAADdAwAADgAAAAAAAAABACAAAAAmAQAAZHJzL2Uyb0RvYy54bWxQ&#10;SwUGAAAAAAYABgBZAQAAjQUAAAAA&#10;">
                      <v:fill on="f" focussize="0,0"/>
                      <v:stroke weight="1pt" color="#000000" joinstyle="round" dashstyle="dash" startarrow="block"/>
                      <v:imagedata o:title=""/>
                      <o:lock v:ext="edit" aspectratio="f"/>
                    </v:lin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653415</wp:posOffset>
                      </wp:positionH>
                      <wp:positionV relativeFrom="paragraph">
                        <wp:posOffset>80010</wp:posOffset>
                      </wp:positionV>
                      <wp:extent cx="769620" cy="276225"/>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769620" cy="276225"/>
                              </a:xfrm>
                              <a:prstGeom prst="rect">
                                <a:avLst/>
                              </a:prstGeom>
                              <a:noFill/>
                              <a:ln w="12700">
                                <a:noFill/>
                              </a:ln>
                            </wps:spPr>
                            <wps:txbx>
                              <w:txbxContent>
                                <w:p>
                                  <w:pPr>
                                    <w:pStyle w:val="20"/>
                                    <w:rPr>
                                      <w:szCs w:val="21"/>
                                    </w:rPr>
                                  </w:pPr>
                                  <w:r>
                                    <w:rPr>
                                      <w:rFonts w:hint="eastAsia"/>
                                      <w:szCs w:val="21"/>
                                    </w:rPr>
                                    <w:t>噪声</w:t>
                                  </w:r>
                                </w:p>
                              </w:txbxContent>
                            </wps:txbx>
                            <wps:bodyPr upright="1"/>
                          </wps:wsp>
                        </a:graphicData>
                      </a:graphic>
                    </wp:anchor>
                  </w:drawing>
                </mc:Choice>
                <mc:Fallback>
                  <w:pict>
                    <v:shape id="_x0000_s1026" o:spid="_x0000_s1026" o:spt="202" type="#_x0000_t202" style="position:absolute;left:0pt;margin-left:51.45pt;margin-top:6.3pt;height:21.75pt;width:60.6pt;z-index:251680768;mso-width-relative:page;mso-height-relative:page;" filled="f" stroked="f" coordsize="21600,21600" o:gfxdata="UEsDBAoAAAAAAIdO4kAAAAAAAAAAAAAAAAAEAAAAZHJzL1BLAwQUAAAACACHTuJAbZDs19cAAAAJ&#10;AQAADwAAAGRycy9kb3ducmV2LnhtbE2PMU/DMBCF90r8B+uQ2Fo7BiIa4lSAxMDQgQL7Jb4mUWM7&#10;xG5a+PUcE2z3dO/efa/cnN0gZppiH7yBbKVAkG+C7X1r4P3teXkHIib0FofgycAXRdhUF4sSCxtO&#10;/pXmXWoFh/hYoIEupbGQMjYdOYyrMJLn3T5MDhPLqZV2whOHu0FqpXLpsPf8ocORnjpqDrujY4z5&#10;o75ep4cQ43avH1++cVsfPo25uszUPYhE5/Rnhl98voGKmepw9DaKgbXSa7byoHMQbND6JgNRG7jN&#10;M5BVKf83qH4AUEsDBBQAAAAIAIdO4kAMDKDjtQEAAFkDAAAOAAAAZHJzL2Uyb0RvYy54bWytU0Fu&#10;2zAQvAfoHwjeYykCYieC5QCFkV6KtkCaB9AUZREguQSXtuQPtD/oqZfc8y6/o0vKcYr0kkMvFLm7&#10;nJ2ZpZZ3ozVsrwJqcA2/mpWcKSeh1W7b8Mfv95c3nGEUrhUGnGr4QSG/W324WA6+VhX0YFoVGIE4&#10;rAff8D5GXxcFyl5ZgTPwylGyg2BFpGPYFm0QA6FbU1RlOS8GCK0PIBUiRddTkp8Qw3sAoeu0VGuQ&#10;O6tcnFCDMiKSJOy1R77KbLtOyfi161BFZhpOSmNeqQntN2ktVktRb4PwvZYnCuI9FN5oskI7anqG&#10;Woso2C7of6CslgEQujiTYItJSHaEVFyVb7x56IVXWQtZjf5sOv4/WPll/y0w3Tb85pYzJyxN/Pjr&#10;5/H38/HpB6MYGTR4rKnuwVNlHD/CSM/mJY4UTLrHLtj0JUWM8mTv4WyvGiOTFFzMb+cVZSSlqsW8&#10;qq4TSvF62QeMnxRYljYNDzS9bKrYf8Y4lb6UpF4O7rUxeYLGsYFYVYuyzDfOKUI3jpokDRPXtIvj&#10;ZjwJ20B7IF07H/S2p6ZZWS4nxzO70+tII/37nEFf/4jV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2Q7NfXAAAACQEAAA8AAAAAAAAAAQAgAAAAIgAAAGRycy9kb3ducmV2LnhtbFBLAQIUABQAAAAI&#10;AIdO4kAMDKDjtQEAAFkDAAAOAAAAAAAAAAEAIAAAACYBAABkcnMvZTJvRG9jLnhtbFBLBQYAAAAA&#10;BgAGAFkBAABNBQAAAAA=&#10;">
                      <v:fill on="f" focussize="0,0"/>
                      <v:stroke on="f" weight="1pt"/>
                      <v:imagedata o:title=""/>
                      <o:lock v:ext="edit" aspectratio="f"/>
                      <v:textbox>
                        <w:txbxContent>
                          <w:p>
                            <w:pPr>
                              <w:pStyle w:val="20"/>
                              <w:rPr>
                                <w:szCs w:val="21"/>
                              </w:rPr>
                            </w:pPr>
                            <w:r>
                              <w:rPr>
                                <w:rFonts w:hint="eastAsia"/>
                                <w:szCs w:val="21"/>
                              </w:rPr>
                              <w:t>噪声</w:t>
                            </w:r>
                          </w:p>
                        </w:txbxContent>
                      </v:textbox>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3629660</wp:posOffset>
                      </wp:positionH>
                      <wp:positionV relativeFrom="paragraph">
                        <wp:posOffset>84455</wp:posOffset>
                      </wp:positionV>
                      <wp:extent cx="236855" cy="0"/>
                      <wp:effectExtent l="0" t="38100" r="10795" b="38100"/>
                      <wp:wrapNone/>
                      <wp:docPr id="90" name="直接连接符 90"/>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85.8pt;margin-top:6.65pt;height:0pt;width:18.65pt;z-index:251679744;mso-width-relative:page;mso-height-relative:page;" filled="f" stroked="t" coordsize="21600,21600" o:gfxdata="UEsDBAoAAAAAAIdO4kAAAAAAAAAAAAAAAAAEAAAAZHJzL1BLAwQUAAAACACHTuJAQ12N29kAAAAJ&#10;AQAADwAAAGRycy9kb3ducmV2LnhtbE2PTUvDQBCG74L/YRnBi9jdWBprzKZIoUhBKFYv3ja70ySY&#10;nY3Z7Yf+ekc86HHmfXjnmXJx8r044Bi7QBqyiQKBZIPrqNHw+rK6noOIyZAzfSDU8IkRFtX5WWkK&#10;F470jIdtagSXUCyMhjaloZAy2ha9iZMwIHG2C6M3icexkW40Ry73vbxRKpfedMQXWjPgskX7vt17&#10;DQ9PtvabAa16XL+tdsuP2dUXrbW+vMjUPYiEp/QHw48+q0PFTnXYk4ui1zC7zXJGOZhOQTCQq/kd&#10;iPp3IatS/v+g+gZQSwMEFAAAAAgAh07iQPzkwCr1AQAA3QMAAA4AAABkcnMvZTJvRG9jLnhtbK1T&#10;zW4TMRC+I/EOlu9k06CWdpVNDw3lgiAS9AEmtnfXkv/kcbPJS/ACSNzgxJE7b0N5DMbeNIEipB7Y&#10;g3c8nvlmvs/j+eXWGrZREbV3DT+ZTDlTTnipXdfwm/fXz845wwROgvFONXynkF8unj6ZD6FWM997&#10;I1VkBOKwHkLD+5RCXVUoemUBJz4oR4etjxYSbWNXyQgDoVtTzabTs2rwUYbohUIk73I85HvE+BhA&#10;37ZaqKUXt1a5NKJGZSARJex1QL4o3batEult26JKzDScmKayUhGy13mtFnOouwih12LfAjymhQec&#10;LGhHRQ9QS0jAbqP+C8pqET36Nk2Et9VIpChCLE6mD7R510NQhQtJjeEgOv4/WPFms4pMy4ZfkCQO&#10;LN343cdvPz58/vn9E613X78wOiGZhoA1RV+5VdzvMKxi5rxto81/YsO2RdrdQVq1TUyQc/b87Pz0&#10;lDNxf1Qd80LE9Ep5y7LRcKNdJg01bF5joloUeh+S3caxgQZ39mJKHQugEWzp6sm0gWig60oyeqPl&#10;tTYmp2Ds1lcmsg3kMShfpkTAf4TlKkvAfoyTZI3z0SuQL51kaRdIHkfPgucWrJKcGUWvKFuEB3UC&#10;bY6RKWpwnflHNFU3jprIwo5SZmvt5a4oXPx066XN/YTmsfp9X7KPr3Lx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NdjdvZAAAACQEAAA8AAAAAAAAAAQAgAAAAIgAAAGRycy9kb3ducmV2LnhtbFBL&#10;AQIUABQAAAAIAIdO4kD85MAq9QEAAN0DAAAOAAAAAAAAAAEAIAAAACgBAABkcnMvZTJvRG9jLnht&#10;bFBLBQYAAAAABgAGAFkBAACP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2466340</wp:posOffset>
                      </wp:positionH>
                      <wp:positionV relativeFrom="paragraph">
                        <wp:posOffset>72390</wp:posOffset>
                      </wp:positionV>
                      <wp:extent cx="635" cy="1078230"/>
                      <wp:effectExtent l="37465" t="0" r="38100" b="7620"/>
                      <wp:wrapNone/>
                      <wp:docPr id="91" name="直接连接符 91"/>
                      <wp:cNvGraphicFramePr/>
                      <a:graphic xmlns:a="http://schemas.openxmlformats.org/drawingml/2006/main">
                        <a:graphicData uri="http://schemas.microsoft.com/office/word/2010/wordprocessingShape">
                          <wps:wsp>
                            <wps:cNvCnPr/>
                            <wps:spPr>
                              <a:xfrm>
                                <a:off x="0" y="0"/>
                                <a:ext cx="635" cy="107823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94.2pt;margin-top:5.7pt;height:84.9pt;width:0.05pt;z-index:251672576;mso-width-relative:page;mso-height-relative:page;" filled="f" stroked="t" coordsize="21600,21600" o:gfxdata="UEsDBAoAAAAAAIdO4kAAAAAAAAAAAAAAAAAEAAAAZHJzL1BLAwQUAAAACACHTuJAMgaZk9cAAAAK&#10;AQAADwAAAGRycy9kb3ducmV2LnhtbE1PQU7DMBC8I/UP1lbigqiTFFCUxqlUJMSBEwWJHt14m0SN&#10;16ntJOX3LCc4rXZmdma23F5tLyb0oXOkIF0lIJBqZzpqFHx+vNznIELUZHTvCBV8Y4BttbgpdWHc&#10;TO847WMj2IRCoRW0MQ6FlKFu0eqwcgMScyfnrY68+kYar2c2t73MkuRJWt0RJ7R6wOcW6/N+tFxD&#10;Wh+/Xt/GcTfVh/mQXeLd+qLU7TJNNiAiXuOfGH7r8w1U3OnoRjJB9ArWef7AUiZSnixg4BHEkYE8&#10;zUBWpfz/QvUDUEsDBBQAAAAIAIdO4kA/K+Ci+QEAAOEDAAAOAAAAZHJzL2Uyb0RvYy54bWytU81u&#10;EzEQviPxDpbvZDepaMsqmx4aygVBJOABJrY3a8l/8rjZ5CV4ASRucOLInbehPAZjb0igCKkH9uAd&#10;j2e+me/zeH61s4ZtVUTtXcunk5oz5YSX2m1a/u7tzZNLzjCBk2C8Uy3fK+RXi8eP5kNo1Mz33kgV&#10;GYE4bIbQ8j6l0FQVil5ZwIkPytFh56OFRNu4qWSEgdCtqWZ1fV4NPsoQvVCI5F2Oh/yAGB8C6LtO&#10;C7X04tYql0bUqAwkooS9DsgXpduuUyK97jpUiZmWE9NUVipC9jqv1WIOzSZC6LU4tAAPaeEeJwva&#10;UdEj1BISsNuo/4KyWkSPvksT4W01EimKEItpfU+bNz0EVbiQ1BiOouP/gxWvtqvItGz5sylnDizd&#10;+N2Hr9/ff/rx7SOtd18+MzohmYaADUVfu1U87DCsYua866LNf2LDdkXa/VFatUtMkPP87ClngvzT&#10;+uJydlaEr06pIWJ6obxl2Wi50S7zhga2LzFROQr9FZLdxrGBoGYXNd2jAJrCjm6fTBuICbpNSUZv&#10;tLzRxuQUjJv1tYlsC3kSypdZEfAfYbnKErAf48rROCO9AvncSZb2gSRy9DR47sEqyZlR9JKyRYDQ&#10;JNDmFJmiBrcx/4im8sZRF1ncUc5srb3cF5WLn26+9HmY0jxav+9L9ullL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gaZk9cAAAAKAQAADwAAAAAAAAABACAAAAAiAAAAZHJzL2Rvd25yZXYueG1s&#10;UEsBAhQAFAAAAAgAh07iQD8r4KL5AQAA4QMAAA4AAAAAAAAAAQAgAAAAJgEAAGRycy9lMm9Eb2Mu&#10;eG1sUEsFBgAAAAAGAAYAWQEAAJEFAAAAAA==&#10;">
                      <v:fill on="f" focussize="0,0"/>
                      <v:stroke weight="1pt" color="#000000" joinstyle="round" endarrow="block"/>
                      <v:imagedata o:title=""/>
                      <o:lock v:ext="edit" aspectratio="f"/>
                    </v:line>
                  </w:pict>
                </mc:Fallback>
              </mc:AlternateContent>
            </w:r>
          </w:p>
          <w:p>
            <w:pPr>
              <w:ind w:firstLine="420"/>
              <w:jc w:val="left"/>
              <w:rPr>
                <w:b/>
                <w:sz w:val="21"/>
                <w:szCs w:val="21"/>
              </w:rPr>
            </w:pPr>
            <w:r>
              <w:rPr>
                <w:sz w:val="21"/>
              </w:rPr>
              <mc:AlternateContent>
                <mc:Choice Requires="wps">
                  <w:drawing>
                    <wp:anchor distT="0" distB="0" distL="114300" distR="114300" simplePos="0" relativeHeight="251713536" behindDoc="0" locked="0" layoutInCell="1" allowOverlap="1">
                      <wp:simplePos x="0" y="0"/>
                      <wp:positionH relativeFrom="column">
                        <wp:posOffset>3895725</wp:posOffset>
                      </wp:positionH>
                      <wp:positionV relativeFrom="paragraph">
                        <wp:posOffset>90805</wp:posOffset>
                      </wp:positionV>
                      <wp:extent cx="635" cy="531495"/>
                      <wp:effectExtent l="6350" t="0" r="12065" b="1905"/>
                      <wp:wrapNone/>
                      <wp:docPr id="92" name="直接连接符 92"/>
                      <wp:cNvGraphicFramePr/>
                      <a:graphic xmlns:a="http://schemas.openxmlformats.org/drawingml/2006/main">
                        <a:graphicData uri="http://schemas.microsoft.com/office/word/2010/wordprocessingShape">
                          <wps:wsp>
                            <wps:cNvCnPr/>
                            <wps:spPr>
                              <a:xfrm>
                                <a:off x="0" y="0"/>
                                <a:ext cx="635" cy="531495"/>
                              </a:xfrm>
                              <a:prstGeom prst="line">
                                <a:avLst/>
                              </a:prstGeom>
                              <a:ln w="12700" cap="flat" cmpd="sng">
                                <a:solidFill>
                                  <a:srgbClr val="000000"/>
                                </a:solidFill>
                                <a:prstDash val="dash"/>
                                <a:headEnd type="none" w="med" len="med"/>
                                <a:tailEnd type="none" w="med" len="med"/>
                              </a:ln>
                            </wps:spPr>
                            <wps:bodyPr/>
                          </wps:wsp>
                        </a:graphicData>
                      </a:graphic>
                    </wp:anchor>
                  </w:drawing>
                </mc:Choice>
                <mc:Fallback>
                  <w:pict>
                    <v:line id="_x0000_s1026" o:spid="_x0000_s1026" o:spt="20" style="position:absolute;left:0pt;margin-left:306.75pt;margin-top:7.15pt;height:41.85pt;width:0.05pt;z-index:251713536;mso-width-relative:page;mso-height-relative:page;" filled="f" stroked="t" coordsize="21600,21600" o:gfxdata="UEsDBAoAAAAAAIdO4kAAAAAAAAAAAAAAAAAEAAAAZHJzL1BLAwQUAAAACACHTuJAJCUW/dUAAAAJ&#10;AQAADwAAAGRycy9kb3ducmV2LnhtbE2PwU7DMAyG70i8Q2QkLmhL2kG1laYTmjTubAiuaeM1FY1T&#10;NdlW3h5zgqP9f/r9udrOfhAXnGIfSEO2VCCQ2mB76jS8H/eLNYiYDFkzBEIN3xhhW9/eVKa04Upv&#10;eDmkTnAJxdJocCmNpZSxdehNXIYRibNTmLxJPE6dtJO5crkfZK5UIb3piS84M+LOYft1OHsNM+3H&#10;TREw/8ybnRvx5dWnhw+t7+8y9Qwi4Zz+YPjVZ3Wo2akJZ7JRDBqKbPXEKAePKxAM8KIA0WjYrBXI&#10;upL/P6h/AFBLAwQUAAAACACHTuJAy1F8EPABAADbAwAADgAAAGRycy9lMm9Eb2MueG1srVPNbhMx&#10;EL4j8Q6W72STlBS6yqaHhnJBEAn6ABPbm7XkP3ncbPISvAASNzhx5M7bUB6jY29IoVxyYA/e8Xjm&#10;83zfjOeXO2vYVkXU3jV8MhpzppzwUrtNw28+XD97yRkmcBKMd6rhe4X8cvH0ybwPtZr6zhupIiMQ&#10;h3UfGt6lFOqqQtEpCzjyQTk6bH20kGgbN5WM0BO6NdV0PD6veh9liF4oRPIuh0N+QIynAPq21UIt&#10;vbi1yqUBNSoDiShhpwPyRam2bZVI79oWVWKm4cQ0lZUuIXud12oxh3oTIXRaHEqAU0p4xMmCdnTp&#10;EWoJCdht1P9AWS2iR9+mkfC2GogURYjFZPxIm/cdBFW4kNQYjqLj/4MVb7eryLRs+MWUMweWOn73&#10;6fvPj19+/fhM6923r4xOSKY+YE3RV24VDzsMq5g579po85/YsF2Rdn+UVu0SE+Q8P5txJsg/O5s8&#10;v5hlwOohM0RMr5W3LBsNN9pl2lDD9g2mIfR3SHYbx3oa3emLMbVRAA1hS80n0wYigm5TktEbLa+1&#10;MTkF42Z9ZSLbQh6E8h1q+Css37IE7IY4SVaOgrpTIF85ydI+kECOHgbPJVglOTOK3lG2SmQCbU6J&#10;JPbGkQhZ1kHIbK293Bd9i596XmQ6zGceqj/3JfvhTS7u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QlFv3VAAAACQEAAA8AAAAAAAAAAQAgAAAAIgAAAGRycy9kb3ducmV2LnhtbFBLAQIUABQAAAAI&#10;AIdO4kDLUXwQ8AEAANsDAAAOAAAAAAAAAAEAIAAAACQBAABkcnMvZTJvRG9jLnhtbFBLBQYAAAAA&#10;BgAGAFkBAACGBQAAAAA=&#10;">
                      <v:fill on="f" focussize="0,0"/>
                      <v:stroke weight="1pt" color="#000000" joinstyle="round" dashstyle="dash"/>
                      <v:imagedata o:title=""/>
                      <o:lock v:ext="edit" aspectratio="f"/>
                    </v:line>
                  </w:pict>
                </mc:Fallback>
              </mc:AlternateContent>
            </w:r>
            <w:r>
              <w:rPr>
                <w:sz w:val="21"/>
              </w:rPr>
              <mc:AlternateContent>
                <mc:Choice Requires="wps">
                  <w:drawing>
                    <wp:anchor distT="0" distB="0" distL="114300" distR="114300" simplePos="0" relativeHeight="251708416" behindDoc="0" locked="0" layoutInCell="1" allowOverlap="1">
                      <wp:simplePos x="0" y="0"/>
                      <wp:positionH relativeFrom="column">
                        <wp:posOffset>3900805</wp:posOffset>
                      </wp:positionH>
                      <wp:positionV relativeFrom="paragraph">
                        <wp:posOffset>88900</wp:posOffset>
                      </wp:positionV>
                      <wp:extent cx="236855" cy="0"/>
                      <wp:effectExtent l="0" t="38100" r="10795" b="38100"/>
                      <wp:wrapNone/>
                      <wp:docPr id="93" name="直接连接符 93"/>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307.15pt;margin-top:7pt;height:0pt;width:18.65pt;z-index:251708416;mso-width-relative:page;mso-height-relative:page;" filled="f" stroked="t" coordsize="21600,21600" o:gfxdata="UEsDBAoAAAAAAIdO4kAAAAAAAAAAAAAAAAAEAAAAZHJzL1BLAwQUAAAACACHTuJAhUnzQ9kAAAAJ&#10;AQAADwAAAGRycy9kb3ducmV2LnhtbE2PT0vDQBDF74LfYRnBi7S70TZIzKZIoUhBkFYvvW12p0kw&#10;Oxuz2z/66R3xoMd578eb98rF2ffiiGPsAmnIpgoEkg2uo0bD2+tqcg8iJkPO9IFQwydGWFSXF6Up&#10;XDjRBo/b1AgOoVgYDW1KQyFltC16E6dhQGJvH0ZvEp9jI91oThzue3mrVC696Yg/tGbAZYv2fXvw&#10;Gh6fbe1fBrTqab1b7Zcf85svWmt9fZWpBxAJz+kPhp/6XB0q7lSHA7koeg15NrtjlI0Zb2Ign2c5&#10;iPpXkFUp/y+ovgFQSwMEFAAAAAgAh07iQHwkQGr2AQAA3QMAAA4AAABkcnMvZTJvRG9jLnhtbK1T&#10;zW4TMRC+I/EOlu9k01QtZZVNDw3lgiAS8AAT27tryX/yuNnkJXgBJG5w4sidt2l5DMbeNIEipB7Y&#10;g3c8nvlmvs/j+eXWGrZREbV3DT+ZTDlTTnipXdfwD++vn11whgmcBOOdavhOIb9cPH0yH0KtZr73&#10;RqrICMRhPYSG9ymFuqpQ9MoCTnxQjg5bHy0k2saukhEGQremmk2n59XgowzRC4VI3uV4yPeI8TGA&#10;vm21UEsvbqxyaUSNykAiStjrgHxRum1bJdLbtkWVmGk4MU1lpSJkr/NaLeZQdxFCr8W+BXhMCw84&#10;WdCOih6glpCA3UT9F5TVInr0bZoIb6uRSFGEWJxMH2jzroegCheSGsNBdPx/sOLNZhWZlg1/ccqZ&#10;A0s3fvfp++3HLz9/fKb17ttXRick0xCwpugrt4r7HYZVzJy3bbT5T2zYtki7O0irtokJcs5Ozy/O&#10;zjgT90fVMS9ETK+UtywbDTfaZdJQw+Y1JqpFofch2W0cG2hwZ8+ndIkCaARbunoybSAa6LqSjN5o&#10;ea2NySkYu/WViWwDeQzKlykR8B9hucoSsB/jJFnjfPQK5EsnWdoFksfRs+C5BaskZ0bRK8oW4UGd&#10;QJtjZIoaXGf+EU3VjaMmsrCjlNlae7krChc/3Xppcz+heax+35fs46tc/A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FSfND2QAAAAkBAAAPAAAAAAAAAAEAIAAAACIAAABkcnMvZG93bnJldi54bWxQ&#10;SwECFAAUAAAACACHTuJAfCRAavYBAADdAwAADgAAAAAAAAABACAAAAAoAQAAZHJzL2Uyb0RvYy54&#10;bWxQSwUGAAAAAAYABgBZAQAAkAU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702272" behindDoc="0" locked="0" layoutInCell="1" allowOverlap="1">
                      <wp:simplePos x="0" y="0"/>
                      <wp:positionH relativeFrom="column">
                        <wp:posOffset>2647950</wp:posOffset>
                      </wp:positionH>
                      <wp:positionV relativeFrom="paragraph">
                        <wp:posOffset>167640</wp:posOffset>
                      </wp:positionV>
                      <wp:extent cx="769620" cy="321945"/>
                      <wp:effectExtent l="6350" t="6350" r="24130" b="14605"/>
                      <wp:wrapNone/>
                      <wp:docPr id="96" name="文本框 96"/>
                      <wp:cNvGraphicFramePr/>
                      <a:graphic xmlns:a="http://schemas.openxmlformats.org/drawingml/2006/main">
                        <a:graphicData uri="http://schemas.microsoft.com/office/word/2010/wordprocessingShape">
                          <wps:wsp>
                            <wps:cNvSpPr txBox="1"/>
                            <wps:spPr>
                              <a:xfrm>
                                <a:off x="0" y="0"/>
                                <a:ext cx="769620" cy="321945"/>
                              </a:xfrm>
                              <a:prstGeom prst="rect">
                                <a:avLst/>
                              </a:prstGeom>
                              <a:noFill/>
                              <a:ln w="12700" cap="flat" cmpd="sng">
                                <a:solidFill>
                                  <a:srgbClr val="000000"/>
                                </a:solidFill>
                                <a:prstDash val="solid"/>
                                <a:miter/>
                                <a:headEnd type="none" w="med" len="med"/>
                                <a:tailEnd type="none" w="med" len="med"/>
                              </a:ln>
                            </wps:spPr>
                            <wps:txbx>
                              <w:txbxContent>
                                <w:p>
                                  <w:pPr>
                                    <w:pStyle w:val="20"/>
                                    <w:rPr>
                                      <w:szCs w:val="21"/>
                                    </w:rPr>
                                  </w:pPr>
                                  <w:r>
                                    <w:rPr>
                                      <w:rFonts w:hint="eastAsia"/>
                                      <w:szCs w:val="21"/>
                                    </w:rPr>
                                    <w:t>井下作业</w:t>
                                  </w:r>
                                </w:p>
                              </w:txbxContent>
                            </wps:txbx>
                            <wps:bodyPr upright="1"/>
                          </wps:wsp>
                        </a:graphicData>
                      </a:graphic>
                    </wp:anchor>
                  </w:drawing>
                </mc:Choice>
                <mc:Fallback>
                  <w:pict>
                    <v:shape id="_x0000_s1026" o:spid="_x0000_s1026" o:spt="202" type="#_x0000_t202" style="position:absolute;left:0pt;margin-left:208.5pt;margin-top:13.2pt;height:25.35pt;width:60.6pt;z-index:251702272;mso-width-relative:page;mso-height-relative:page;" filled="f" stroked="t" coordsize="21600,21600" o:gfxdata="UEsDBAoAAAAAAIdO4kAAAAAAAAAAAAAAAAAEAAAAZHJzL1BLAwQUAAAACACHTuJA/ewNltcAAAAJ&#10;AQAADwAAAGRycy9kb3ducmV2LnhtbE2PwW6DMBBE75X6D9ZG6q0xEBIQZYmqVhyrqqQfYGCDUbCN&#10;bCeBv697ao+jGc28KY+LmtiNrBuNRoi3ETDSnelHPSB8n+rnHJjzQvdiMpoQVnJwrB4fSlH05q6/&#10;6Nb4gYUS7QqBIL2fC85dJ0kJtzUz6eCdjVXCB2kH3ltxD+Vq4kkUHbgSow4LUsz0Jqm7NFeFsCSr&#10;rHeme39NG7meP/O2/thbxKdNHL0A87T4vzD84gd0qAJTa666d2xCSOMsfPEIySEFFgL7XZ4AaxGy&#10;LAZelfz/g+oHUEsDBBQAAAAIAIdO4kD3E61RBQIAAA8EAAAOAAAAZHJzL2Uyb0RvYy54bWytU82O&#10;0zAQviPxDpbvNGmALo2argRluSBAWngA13YSS/6Tx23SF4A34MSFO8/V52DsdLvs7qUHcnDGM58/&#10;z3wzXl2PRpO9DKCcbeh8VlIiLXdC2a6h377evHhDCURmBdPOyoYeJNDr9fNnq8HXsnK900IGgiQW&#10;6sE3tI/R10UBvJeGwcx5aTHYumBYxG3oChHYgOxGF1VZLorBBeGD4xIAvZspSE+M4RJC17aKy43j&#10;OyNtnFiD1CxiSdArD3Sds21byePntgUZiW4oVhrzipegvU1rsV6xugvM94qfUmCXpPCoJsOUxUvP&#10;VBsWGdkF9YTKKB4cuDbOuDPFVEhWBKuYl4+0ue2Zl7kWlBr8WXT4f7T80/5LIEo0dLmgxDKDHT/+&#10;/HH89ef4+ztBHwo0eKgRd+sRGce3bsSxufMDOlPdYxtM+mNFBOMo7+Esrxwj4ei8WiwXFUY4hl5W&#10;8+Wr14mluD/sA8QP0hmSjIYG7F4Wle0/Qpygd5B0l3U3SuvcQW3JgFlVV2XiZziWLY4DmsZjaWC7&#10;zANOK5HOpNMQuu07HciepdHI3ymdB7B04YZBP+FyKMFYbVSUIVu9ZOK9FSQePKpn8dXQlI2RghIt&#10;8ZElKyMjU/oSJGqiLUqTlJ8UTlYctyPSJHPrxAG7sfNBdT1KlfuR4TgnWdPTTKdB/HefSe/f8f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wNltcAAAAJAQAADwAAAAAAAAABACAAAAAiAAAAZHJz&#10;L2Rvd25yZXYueG1sUEsBAhQAFAAAAAgAh07iQPcTrVEFAgAADwQAAA4AAAAAAAAAAQAgAAAAJgEA&#10;AGRycy9lMm9Eb2MueG1sUEsFBgAAAAAGAAYAWQEAAJ0FAAAAAA==&#10;">
                      <v:fill on="f" focussize="0,0"/>
                      <v:stroke weight="1pt" color="#000000" joinstyle="miter"/>
                      <v:imagedata o:title=""/>
                      <o:lock v:ext="edit" aspectratio="f"/>
                      <v:textbox>
                        <w:txbxContent>
                          <w:p>
                            <w:pPr>
                              <w:pStyle w:val="20"/>
                              <w:rPr>
                                <w:szCs w:val="21"/>
                              </w:rPr>
                            </w:pPr>
                            <w:r>
                              <w:rPr>
                                <w:rFonts w:hint="eastAsia"/>
                                <w:szCs w:val="21"/>
                              </w:rPr>
                              <w:t>井下作业</w:t>
                            </w:r>
                          </w:p>
                        </w:txbxContent>
                      </v:textbox>
                    </v:shape>
                  </w:pict>
                </mc:Fallback>
              </mc:AlternateContent>
            </w:r>
          </w:p>
          <w:p>
            <w:pPr>
              <w:pStyle w:val="11"/>
              <w:ind w:firstLine="420"/>
              <w:rPr>
                <w:b/>
                <w:sz w:val="21"/>
                <w:szCs w:val="21"/>
              </w:rPr>
            </w:pPr>
            <w:r>
              <w:rPr>
                <w:sz w:val="21"/>
              </w:rPr>
              <mc:AlternateContent>
                <mc:Choice Requires="wps">
                  <w:drawing>
                    <wp:anchor distT="0" distB="0" distL="114300" distR="114300" simplePos="0" relativeHeight="251703296" behindDoc="0" locked="0" layoutInCell="1" allowOverlap="1">
                      <wp:simplePos x="0" y="0"/>
                      <wp:positionH relativeFrom="column">
                        <wp:posOffset>2604770</wp:posOffset>
                      </wp:positionH>
                      <wp:positionV relativeFrom="paragraph">
                        <wp:posOffset>254635</wp:posOffset>
                      </wp:positionV>
                      <wp:extent cx="473075" cy="450850"/>
                      <wp:effectExtent l="0" t="4445" r="22225" b="1905"/>
                      <wp:wrapNone/>
                      <wp:docPr id="94" name="直接连接符 94"/>
                      <wp:cNvGraphicFramePr/>
                      <a:graphic xmlns:a="http://schemas.openxmlformats.org/drawingml/2006/main">
                        <a:graphicData uri="http://schemas.microsoft.com/office/word/2010/wordprocessingShape">
                          <wps:wsp>
                            <wps:cNvCnPr/>
                            <wps:spPr>
                              <a:xfrm flipH="1">
                                <a:off x="0" y="0"/>
                                <a:ext cx="473075" cy="45085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5.1pt;margin-top:20.05pt;height:35.5pt;width:37.25pt;z-index:251703296;mso-width-relative:page;mso-height-relative:page;" filled="f" stroked="t" coordsize="21600,21600" o:gfxdata="UEsDBAoAAAAAAIdO4kAAAAAAAAAAAAAAAAAEAAAAZHJzL1BLAwQUAAAACACHTuJA6lvgPdcAAAAK&#10;AQAADwAAAGRycy9kb3ducmV2LnhtbE2PTWvDMAyG74P+B6PCbqudEpaSxelhY6xQGDTr2NWNtSTU&#10;lkPsfv37aadNJwk9vHpUra/eiTNOcQikIVsoEEhtsAN1GvYfrw8rEDEZssYFQg03jLCuZ3eVKW24&#10;0A7PTeoEh1AsjYY+pbGUMrY9ehMXYUTi3XeYvEk8Tp20k7lwuHdyqdSj9GYgvtCbEZ97bI/NyWvw&#10;3YjN1/b49rL53BX7Im837j1qfT/P1BOIhNf0B8OvPqtDzU6HcCIbhdOQZ2rJKDcqA8FAvsoLEAcm&#10;uUDWlfz/Qv0DUEsDBBQAAAAIAIdO4kCkTjJxAwIAAO0DAAAOAAAAZHJzL2Uyb0RvYy54bWytU0uO&#10;EzEQ3SNxB8t70j0hIUMrnVlMGFggiAQcoOJPtyX/ZHvSySW4ABI7WLFkz20YjkHZHTIwCGkWeGGV&#10;q8qv6j2Xlxd7o8lOhKicbenZpKZEWOa4sl1L3729enROSUxgOWhnRUsPItKL1cMHy8E3Yup6p7kI&#10;BEFsbAbf0j4l31RVZL0wECfOC4tB6YKBhMfQVTzAgOhGV9O6flINLnAfHBMxonc9BukRMdwH0Emp&#10;mFg7dm2ETSNqEBoSUoq98pGuSrdSCpZeSxlFIrqlyDSVHYugvc17tVpC0wXwvWLHFuA+LdzhZEBZ&#10;LHqCWkMCch3UX1BGseCik2nCnKlGIkURZHFW39HmTQ9eFC4odfQn0eP/g2WvdptAFG/p0xklFgy+&#10;+M2Hr9/ff/rx7SPuN18+E4ygTIOPDWZf2k04nqLfhMx5L4MhUiv/AuepqIC8yL6IfDiJLPaJMHTO&#10;Fo/rxZwShqHZvD6fl0eoRpgM50NMz4UzJBst1cpmDaCB3cuYsDSm/krJbm3JgHWnixrflAFOpMRJ&#10;QNN4ZBVtVy5HpxW/UlrnKzF020sdyA7yVJSVGSLwH2m5yhpiP+aV0DgvvQD+zHKSDh7lsvhNaO7B&#10;CE6JFvirsoWA0CRQ+jYzBQW20//IxvLaYhdZ6FHabG0dPxTFix+noPR5nNg8Zr+fy+3bX7r6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pb4D3XAAAACgEAAA8AAAAAAAAAAQAgAAAAIgAAAGRycy9k&#10;b3ducmV2LnhtbFBLAQIUABQAAAAIAIdO4kCkTjJxAwIAAO0DAAAOAAAAAAAAAAEAIAAAACYBAABk&#10;cnMvZTJvRG9jLnhtbFBLBQYAAAAABgAGAFkBAACbBQAAAAA=&#10;">
                      <v:fill on="f" focussize="0,0"/>
                      <v:stroke weight="1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712512" behindDoc="0" locked="0" layoutInCell="1" allowOverlap="1">
                      <wp:simplePos x="0" y="0"/>
                      <wp:positionH relativeFrom="column">
                        <wp:posOffset>4129405</wp:posOffset>
                      </wp:positionH>
                      <wp:positionV relativeFrom="paragraph">
                        <wp:posOffset>281940</wp:posOffset>
                      </wp:positionV>
                      <wp:extent cx="1026795" cy="276225"/>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026795" cy="276225"/>
                              </a:xfrm>
                              <a:prstGeom prst="rect">
                                <a:avLst/>
                              </a:prstGeom>
                              <a:noFill/>
                              <a:ln w="12700">
                                <a:noFill/>
                              </a:ln>
                            </wps:spPr>
                            <wps:txbx>
                              <w:txbxContent>
                                <w:p>
                                  <w:pPr>
                                    <w:ind w:firstLine="0" w:firstLineChars="0"/>
                                    <w:jc w:val="left"/>
                                    <w:rPr>
                                      <w:sz w:val="21"/>
                                      <w:szCs w:val="21"/>
                                    </w:rPr>
                                  </w:pPr>
                                  <w:r>
                                    <w:rPr>
                                      <w:rFonts w:hint="eastAsia"/>
                                      <w:sz w:val="21"/>
                                      <w:szCs w:val="21"/>
                                    </w:rPr>
                                    <w:t>噪声</w:t>
                                  </w:r>
                                </w:p>
                              </w:txbxContent>
                            </wps:txbx>
                            <wps:bodyPr upright="1"/>
                          </wps:wsp>
                        </a:graphicData>
                      </a:graphic>
                    </wp:anchor>
                  </w:drawing>
                </mc:Choice>
                <mc:Fallback>
                  <w:pict>
                    <v:shape id="_x0000_s1026" o:spid="_x0000_s1026" o:spt="202" type="#_x0000_t202" style="position:absolute;left:0pt;margin-left:325.15pt;margin-top:22.2pt;height:21.75pt;width:80.85pt;z-index:251712512;mso-width-relative:page;mso-height-relative:page;" filled="f" stroked="f" coordsize="21600,21600" o:gfxdata="UEsDBAoAAAAAAIdO4kAAAAAAAAAAAAAAAAAEAAAAZHJzL1BLAwQUAAAACACHTuJAJWmj0tgAAAAJ&#10;AQAADwAAAGRycy9kb3ducmV2LnhtbE2PzU7DMBCE70i8g7VI3KidNPQnxKkAiQOHHij0vondJGq8&#10;DrGbFp6e5QS3Xe3M7DfF5uJ6MdkxdJ40JDMFwlLtTUeNho/3l7sViBCRDPaerIYvG2BTXl8VmBt/&#10;pjc77WIjOIRCjhraGIdcylC31mGY+cES3w5+dBh5HRtpRjxzuOtlqtRCOuyIP7Q42OfW1sfdyTHG&#10;tK/m6/joQ9ge0qfXb9xWx0+tb28S9QAi2kv8E8MvPnugZKbKn8gE0WtY3Ks5SzVkWQaCBask5XIV&#10;D8s1yLKQ/xuUP1BLAwQUAAAACACHTuJAJjqUE7UBAABaAwAADgAAAGRycy9lMm9Eb2MueG1srVNL&#10;btswEN0XyB0I7mspAmq3guUAhZFsirZA2gPQFGkRIDkEh7bkCyQ36Kqb7nsun6ND2nGKdJNFN9Rw&#10;Pm/mvaGWN5OzbK8iGvAdv57VnCkvoTd+2/Hv327fvucMk/C9sOBVxw8K+c3q6s1yDK1qYADbq8gI&#10;xGM7ho4PKYW2qlAOygmcQVCeghqiE4mucVv1UYyE7mzV1PW8GiH2IYJUiORdn4L8jBhfAwhaG6nW&#10;IHdO+XRCjcqKRJRwMAH5qkyrtZLpi9aoErMdJ6apnNSE7E0+q9VStNsowmDkeQTxmhFecHLCeGp6&#10;gVqLJNgumn+gnJEREHSaSXDViUhRhFhc1y+0uR9EUIULSY3hIjr+P1j5ef81MtN3/MM7zrxwtPHj&#10;j8fjz9/HXw+MfCTQGLClvPtAmWn6CBM9myc/kjPznnR0+UuMGMVJ3sNFXjUlJnNR3cwXuY2kWLOY&#10;N02Br56rQ8R0p8CxbHQ80vqKqmL/CRNNQqlPKbmZh1tjbVmh9WykDs2irkvFJUQl1lNlJnEaNltp&#10;2kxnZhvoD0RsF6LZDtS0UCvpJHlpeX4eead/3wvo8y+x+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laaPS2AAAAAkBAAAPAAAAAAAAAAEAIAAAACIAAABkcnMvZG93bnJldi54bWxQSwECFAAUAAAA&#10;CACHTuJAJjqUE7UBAABaAwAADgAAAAAAAAABACAAAAAnAQAAZHJzL2Uyb0RvYy54bWxQSwUGAAAA&#10;AAYABgBZAQAATgUAAAAA&#10;">
                      <v:fill on="f" focussize="0,0"/>
                      <v:stroke on="f" weight="1pt"/>
                      <v:imagedata o:title=""/>
                      <o:lock v:ext="edit" aspectratio="f"/>
                      <v:textbox>
                        <w:txbxContent>
                          <w:p>
                            <w:pPr>
                              <w:ind w:firstLine="0" w:firstLineChars="0"/>
                              <w:jc w:val="left"/>
                              <w:rPr>
                                <w:sz w:val="21"/>
                                <w:szCs w:val="21"/>
                              </w:rPr>
                            </w:pPr>
                            <w:r>
                              <w:rPr>
                                <w:rFonts w:hint="eastAsia"/>
                                <w:sz w:val="21"/>
                                <w:szCs w:val="21"/>
                              </w:rPr>
                              <w:t>噪声</w:t>
                            </w:r>
                          </w:p>
                        </w:txbxContent>
                      </v:textbox>
                    </v:shape>
                  </w:pict>
                </mc:Fallback>
              </mc:AlternateContent>
            </w:r>
            <w:r>
              <w:rPr>
                <w:sz w:val="21"/>
              </w:rPr>
              <mc:AlternateContent>
                <mc:Choice Requires="wps">
                  <w:drawing>
                    <wp:anchor distT="0" distB="0" distL="114300" distR="114300" simplePos="0" relativeHeight="251709440" behindDoc="0" locked="0" layoutInCell="1" allowOverlap="1">
                      <wp:simplePos x="0" y="0"/>
                      <wp:positionH relativeFrom="column">
                        <wp:posOffset>3894455</wp:posOffset>
                      </wp:positionH>
                      <wp:positionV relativeFrom="paragraph">
                        <wp:posOffset>140970</wp:posOffset>
                      </wp:positionV>
                      <wp:extent cx="236855" cy="0"/>
                      <wp:effectExtent l="0" t="38100" r="10795" b="38100"/>
                      <wp:wrapNone/>
                      <wp:docPr id="67" name="直接连接符 67"/>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306.65pt;margin-top:11.1pt;height:0pt;width:18.65pt;z-index:251709440;mso-width-relative:page;mso-height-relative:page;" filled="f" stroked="t" coordsize="21600,21600" o:gfxdata="UEsDBAoAAAAAAIdO4kAAAAAAAAAAAAAAAAAEAAAAZHJzL1BLAwQUAAAACACHTuJA9al1HdkAAAAJ&#10;AQAADwAAAGRycy9kb3ducmV2LnhtbE2PTUvEMBCG74L/IYzgRdykXbZIbbrIwiILgrh68ZYms22x&#10;mdQm+6G/3hEP63FmHt553mp58oM44BT7QBqymQKBZIPrqdXw9rq+vQMRkyFnhkCo4QsjLOvLi8qU&#10;LhzpBQ/b1AoOoVgaDV1KYylltB16E2dhROLbLkzeJB6nVrrJHDncDzJXqpDe9MQfOjPiqkP7sd17&#10;DQ9PtvHPI1r1uHlf71afi5tv2mh9fZWpexAJT+kMw68+q0PNTk3Yk4ti0FBk8zmjGvI8B8FAsVAF&#10;iOZvIetK/m9Q/wBQSwMEFAAAAAgAh07iQKHYa871AQAA3QMAAA4AAABkcnMvZTJvRG9jLnhtbK1T&#10;zW4TMRC+I/EOlu9k06Cm1SqbHhrKBUEk4AEmtnfXkv/kcbPJS/ACSNzgxJE7b0N5DMbeNIEipB7Y&#10;g3c8nvlmvs/jxdXOGrZVEbV3DT+bTDlTTnipXdfw9+9unl1yhgmcBOOdavheIb9aPn2yGEKtZr73&#10;RqrICMRhPYSG9ymFuqpQ9MoCTnxQjg5bHy0k2saukhEGQremmk2n82rwUYbohUIk72o85AfE+BhA&#10;37ZaqJUXt1a5NKJGZSARJex1QL4s3batEulN26JKzDScmKayUhGyN3mtlguouwih1+LQAjymhQec&#10;LGhHRY9QK0jAbqP+C8pqET36Nk2Et9VIpChCLM6mD7R520NQhQtJjeEoOv4/WPF6u45My4bPLzhz&#10;YOnG7z5++/Hh88/vn2i9+/qF0QnJNASsKfrareNhh2EdM+ddG23+Exu2K9Luj9KqXWKCnLPn88vz&#10;c87E/VF1ygsR00vlLctGw412mTTUsH2FiWpR6H1IdhvHBhrc2cWULlEAjWBLV0+mDUQDXVeS0Rst&#10;b7QxOQVjt7k2kW0hj0H5MiUC/iMsV1kB9mOcJGucj16BfOEkS/tA8jh6Fjy3YJXkzCh6RdkiPKgT&#10;aHOKTFGD68w/oqm6cdREFnaUMlsbL/dF4eKnWy9tHiY0j9Xv+5J9epX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WpdR3ZAAAACQEAAA8AAAAAAAAAAQAgAAAAIgAAAGRycy9kb3ducmV2LnhtbFBL&#10;AQIUABQAAAAIAIdO4kCh2GvO9QEAAN0DAAAOAAAAAAAAAAEAIAAAACgBAABkcnMvZTJvRG9jLnht&#10;bFBLBQYAAAAABgAGAFkBAACP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707392" behindDoc="0" locked="0" layoutInCell="1" allowOverlap="1">
                      <wp:simplePos x="0" y="0"/>
                      <wp:positionH relativeFrom="column">
                        <wp:posOffset>3422015</wp:posOffset>
                      </wp:positionH>
                      <wp:positionV relativeFrom="paragraph">
                        <wp:posOffset>108585</wp:posOffset>
                      </wp:positionV>
                      <wp:extent cx="449580" cy="635"/>
                      <wp:effectExtent l="0" t="37465" r="7620" b="38100"/>
                      <wp:wrapNone/>
                      <wp:docPr id="69" name="直接连接符 69"/>
                      <wp:cNvGraphicFramePr/>
                      <a:graphic xmlns:a="http://schemas.openxmlformats.org/drawingml/2006/main">
                        <a:graphicData uri="http://schemas.microsoft.com/office/word/2010/wordprocessingShape">
                          <wps:wsp>
                            <wps:cNvCnPr/>
                            <wps:spPr>
                              <a:xfrm>
                                <a:off x="0" y="0"/>
                                <a:ext cx="449580" cy="635"/>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69.45pt;margin-top:8.55pt;height:0.05pt;width:35.4pt;z-index:251707392;mso-width-relative:page;mso-height-relative:page;" filled="f" stroked="t" coordsize="21600,21600" o:gfxdata="UEsDBAoAAAAAAIdO4kAAAAAAAAAAAAAAAAAEAAAAZHJzL1BLAwQUAAAACACHTuJAX8TgZdkAAAAJ&#10;AQAADwAAAGRycy9kb3ducmV2LnhtbE2PTUsDMRCG74L/IYzgRWyylX6tmy1SKFIQitWLt2wy3V3c&#10;TNZN+qG/3ulJjzPvwzvPFMuz78QRh9gG0pCNFAgkG1xLtYb3t/X9HERMhpzpAqGGb4ywLK+vCpO7&#10;cKJXPO5SLbiEYm40NCn1uZTRNuhNHIUeibN9GLxJPA61dIM5cbnv5FipqfSmJb7QmB5XDdrP3cFr&#10;eHqxld/2aNXz5mO9X31N7n5oo/XtTaYeQSQ8pz8YLvqsDiU7VeFALopOw+RhvmCUg1kGgoGpWsxA&#10;VJfFGGRZyP8flL9QSwMEFAAAAAgAh07iQG2U3CL1AQAA3wMAAA4AAABkcnMvZTJvRG9jLnhtbK1T&#10;zW4TMRC+I/EOlu9k09CGdpVNDw3lgqAS8AAT27tryX/yuNnkJXgBJG5w4sidt6E8BmNvSKAIqQf2&#10;4B3b33ye7/N4cbm1hm1URO1dw08mU86UE15q1zX83dvrJ+ecYQInwXinGr5TyC+Xjx8thlCrme+9&#10;kSoyInFYD6HhfUqhrioUvbKAEx+Uo83WRwuJprGrZISB2K2pZtPpvBp8lCF6oRBpdTVu8j1jfAih&#10;b1st1MqLW6tcGlmjMpBIEvY6IF+WattWifS6bVElZhpOSlMZ6RCK13mslguouwih12JfAjykhHua&#10;LGhHhx6oVpCA3Ub9F5XVInr0bZoIb6tRSHGEVJxM73nzpoegihayGsPBdPx/tOLV5iYyLRs+v+DM&#10;gaUbv/vw9fv7Tz++faTx7stnRjtk0xCwJvSVu4n7GYabmDVv22jzn9SwbbF2d7BWbRMTtHh6enF2&#10;TqYL2po/PcuE1TEzREwvlLcsBw032mXZUMPmJaYR+guSl41jA7Xu7Nk0MwI1YUuXT6ENJARdV5LR&#10;Gy2vtTE5BWO3vjKRbSA3Qvn2NfwBy6esAPsRJynKKKh7BfK5kyztAhnk6GHwXIJVkjOj6B3lqCAT&#10;aHNEpqjBdeYfaHLAODIiWzuamaO1l7vicVmney9W7Xs0N9bv85J9fJfL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E4GXZAAAACQEAAA8AAAAAAAAAAQAgAAAAIgAAAGRycy9kb3ducmV2LnhtbFBL&#10;AQIUABQAAAAIAIdO4kBtlNwi9QEAAN8DAAAOAAAAAAAAAAEAIAAAACgBAABkcnMvZTJvRG9jLnht&#10;bFBLBQYAAAAABgAGAFkBAACP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4135755</wp:posOffset>
                      </wp:positionH>
                      <wp:positionV relativeFrom="paragraph">
                        <wp:posOffset>3810</wp:posOffset>
                      </wp:positionV>
                      <wp:extent cx="1265555" cy="276225"/>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265555" cy="276225"/>
                              </a:xfrm>
                              <a:prstGeom prst="rect">
                                <a:avLst/>
                              </a:prstGeom>
                              <a:noFill/>
                              <a:ln w="12700">
                                <a:noFill/>
                              </a:ln>
                            </wps:spPr>
                            <wps:txbx>
                              <w:txbxContent>
                                <w:p>
                                  <w:pPr>
                                    <w:ind w:firstLine="0" w:firstLineChars="0"/>
                                    <w:rPr>
                                      <w:color w:val="000000"/>
                                      <w:sz w:val="21"/>
                                      <w:szCs w:val="21"/>
                                    </w:rPr>
                                  </w:pPr>
                                  <w:r>
                                    <w:rPr>
                                      <w:rFonts w:hint="eastAsia"/>
                                      <w:color w:val="000000"/>
                                      <w:sz w:val="21"/>
                                      <w:szCs w:val="21"/>
                                    </w:rPr>
                                    <w:t>洗井废水</w:t>
                                  </w:r>
                                </w:p>
                              </w:txbxContent>
                            </wps:txbx>
                            <wps:bodyPr upright="1"/>
                          </wps:wsp>
                        </a:graphicData>
                      </a:graphic>
                    </wp:anchor>
                  </w:drawing>
                </mc:Choice>
                <mc:Fallback>
                  <w:pict>
                    <v:shape id="_x0000_s1026" o:spid="_x0000_s1026" o:spt="202" type="#_x0000_t202" style="position:absolute;left:0pt;margin-left:325.65pt;margin-top:0.3pt;height:21.75pt;width:99.65pt;z-index:251668480;mso-width-relative:page;mso-height-relative:page;" filled="f" stroked="f" coordsize="21600,21600" o:gfxdata="UEsDBAoAAAAAAIdO4kAAAAAAAAAAAAAAAAAEAAAAZHJzL1BLAwQUAAAACACHTuJAd3dbr9QAAAAH&#10;AQAADwAAAGRycy9kb3ducmV2LnhtbE2OPU/DMBCGdyT+g3WV2KiTfqmkcSpAYmDoQIH9El+TqPE5&#10;xG5a+PUcE93e0/txT769uE6NNITWs4F0moAirrxtuTbw8f5yvwYVIrLFzjMZ+KYA2+L2JsfM+jO/&#10;0biPtZIRDhkaaGLsM61D1ZDDMPU9sXgHPziMcg61tgOeZdx1epYkK+2wZfnQYE/PDVXH/ckJxvhZ&#10;zh/iow9hd5g9vf7grjx+GXM3SZMNqEiX+B+GP3zpQCFMpT+xDaozsFqmc4mKACX2epmIKA0sFino&#10;ItfX/MUvUEsDBBQAAAAIAIdO4kC3phKHtQEAAFoDAAAOAAAAZHJzL2Uyb0RvYy54bWytU8GO0zAQ&#10;vSPxD5bvNNmI7aKo6UqoWi4IkBY+wHXsxpLtsTxuk/4A/AEnLtz5rn4HY6fbXS2XPZCDM54Zv5n3&#10;xl7dTs6yg4powHf8alFzpryE3vhdx799vXvzjjNMwvfCglcdPyrkt+vXr1ZjaFUDA9heRUYgHtsx&#10;dHxIKbRVhXJQTuACgvIU1BCdSLSNu6qPYiR0Z6umrpfVCLEPEaRCJO9mDvIzYnwJIGhtpNqA3Dvl&#10;04walRWJKOFgAvJ16VZrJdNnrVElZjtOTFNZqQjZ27xW65Vod1GEwchzC+IlLTzj5ITxVPQCtRFJ&#10;sH00/0A5IyMg6LSQ4KqZSFGEWFzVz7S5H0RQhQtJjeEiOv4/WPnp8CUy03d8+ZYzLxxN/PTzx+nX&#10;n9Pv74x8JNAYsKW8+0CZaXoPE12bBz+SM/OedHT5T4wYxUne40VeNSUm86FmeU0fZ5Jizc2yaa4z&#10;TPV4OkRMHxQ4lo2ORxpfUVUcPmKaUx9ScjEPd8baMkLr2Zgr3NR1OXEJEbr1VCSTmJvNVpq205nZ&#10;FvojEduHaHYDFS3USjpJXro7X48806f7Avr4JN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Hd3&#10;W6/UAAAABwEAAA8AAAAAAAAAAQAgAAAAIgAAAGRycy9kb3ducmV2LnhtbFBLAQIUABQAAAAIAIdO&#10;4kC3phKHtQEAAFoDAAAOAAAAAAAAAAEAIAAAACMBAABkcnMvZTJvRG9jLnhtbFBLBQYAAAAABgAG&#10;AFkBAABKBQAAAAA=&#10;">
                      <v:fill on="f" focussize="0,0"/>
                      <v:stroke on="f" weight="1pt"/>
                      <v:imagedata o:title=""/>
                      <o:lock v:ext="edit" aspectratio="f"/>
                      <v:textbox>
                        <w:txbxContent>
                          <w:p>
                            <w:pPr>
                              <w:ind w:firstLine="0" w:firstLineChars="0"/>
                              <w:rPr>
                                <w:color w:val="000000"/>
                                <w:sz w:val="21"/>
                                <w:szCs w:val="21"/>
                              </w:rPr>
                            </w:pPr>
                            <w:r>
                              <w:rPr>
                                <w:rFonts w:hint="eastAsia"/>
                                <w:color w:val="000000"/>
                                <w:sz w:val="21"/>
                                <w:szCs w:val="21"/>
                              </w:rPr>
                              <w:t>洗井废水</w:t>
                            </w:r>
                          </w:p>
                        </w:txbxContent>
                      </v:textbox>
                    </v:shape>
                  </w:pict>
                </mc:Fallback>
              </mc:AlternateContent>
            </w:r>
          </w:p>
          <w:p>
            <w:pPr>
              <w:ind w:firstLine="480"/>
              <w:jc w:val="left"/>
              <w:rPr>
                <w:b/>
                <w:sz w:val="21"/>
                <w:szCs w:val="21"/>
              </w:rPr>
            </w:pPr>
            <w:r>
              <mc:AlternateContent>
                <mc:Choice Requires="wps">
                  <w:drawing>
                    <wp:anchor distT="0" distB="0" distL="114300" distR="114300" simplePos="0" relativeHeight="251711488" behindDoc="0" locked="0" layoutInCell="1" allowOverlap="1">
                      <wp:simplePos x="0" y="0"/>
                      <wp:positionH relativeFrom="column">
                        <wp:posOffset>3900805</wp:posOffset>
                      </wp:positionH>
                      <wp:positionV relativeFrom="paragraph">
                        <wp:posOffset>97790</wp:posOffset>
                      </wp:positionV>
                      <wp:extent cx="236855" cy="0"/>
                      <wp:effectExtent l="0" t="38100" r="10795" b="38100"/>
                      <wp:wrapNone/>
                      <wp:docPr id="70" name="直接连接符 70"/>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307.15pt;margin-top:7.7pt;height:0pt;width:18.65pt;z-index:251711488;mso-width-relative:page;mso-height-relative:page;" filled="f" stroked="t" coordsize="21600,21600" o:gfxdata="UEsDBAoAAAAAAIdO4kAAAAAAAAAAAAAAAAAEAAAAZHJzL1BLAwQUAAAACACHTuJAqTBcd9gAAAAJ&#10;AQAADwAAAGRycy9kb3ducmV2LnhtbE2PTUvEMBCG74L/IYzgRdykui1Smy6ysMiCILt68ZYms22x&#10;mdQm+6G/3hEPepx5H955plqc/CAOOMU+kIZspkAg2eB6ajW8vqyu70DEZMiZIRBq+MQIi/r8rDKl&#10;C0fa4GGbWsElFEujoUtpLKWMtkNv4iyMSJztwuRN4nFqpZvMkcv9IG+UKqQ3PfGFzoy47NC+b/de&#10;w8OTbfzziFY9rt9Wu+VHfvVFa60vLzJ1DyLhKf3B8KPP6lCzUxP25KIYNBTZ/JZRDvI5CAaKPCtA&#10;NL8LWVfy/wf1N1BLAwQUAAAACACHTuJAvhptnfUBAADdAwAADgAAAGRycy9lMm9Eb2MueG1srVPN&#10;bhMxEL4j8Q6W72TToP5olU0PDeWCIBLwABPbu2vJf/K42eQleAEkbnDiyJ23oTwGY2+a0FZIPbAH&#10;73g88818n8fzy601bKMiau8afjKZcqac8FK7ruEfP1y/uOAMEzgJxjvV8J1Cfrl4/mw+hFrNfO+N&#10;VJERiMN6CA3vUwp1VaHolQWc+KAcHbY+Wki0jV0lIwyEbk01m07PqsFHGaIXCpG8y/GQ7xHjUwB9&#10;22qhll7cWOXSiBqVgUSUsNcB+aJ027ZKpHdtiyox03BimspKRche57VazKHuIoRei30L8JQWHnCy&#10;oB0VPUAtIQG7ifoRlNUievRtmghvq5FIUYRYnEwfaPO+h6AKF5Iaw0F0/H+w4u1mFZmWDT8nSRxY&#10;uvHbzz9+ffr6++cXWm+/f2N0QjINAWuKvnKruN9hWMXMedtGm//Ehm2LtLuDtGqbmCDn7OXZxekp&#10;Z+LuqDrmhYjptfKWZaPhRrtMGmrYvMFEtSj0LiS7jWMDDe7sfEodC6ARbOnqybSBaKDrSjJ6o+W1&#10;NianYOzWVyayDeQxKF+mRMD3wnKVJWA/xkmyxvnoFchXTrK0CySPo2fBcwtWSc6MoleULcKDOoE2&#10;x8gUNbjO/COaqhtHTWRhRymztfZyVxQufrr10uZ+QvNY/b0v2cdXuf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TBcd9gAAAAJAQAADwAAAAAAAAABACAAAAAiAAAAZHJzL2Rvd25yZXYueG1sUEsB&#10;AhQAFAAAAAgAh07iQL4abZ31AQAA3QMAAA4AAAAAAAAAAQAgAAAAJwEAAGRycy9lMm9Eb2MueG1s&#10;UEsFBgAAAAAGAAYAWQEAAI4FA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277495</wp:posOffset>
                      </wp:positionH>
                      <wp:positionV relativeFrom="paragraph">
                        <wp:posOffset>40640</wp:posOffset>
                      </wp:positionV>
                      <wp:extent cx="1192530" cy="290195"/>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192530" cy="290195"/>
                              </a:xfrm>
                              <a:prstGeom prst="rect">
                                <a:avLst/>
                              </a:prstGeom>
                              <a:noFill/>
                              <a:ln w="12700">
                                <a:noFill/>
                              </a:ln>
                            </wps:spPr>
                            <wps:txbx>
                              <w:txbxContent>
                                <w:p>
                                  <w:pPr>
                                    <w:pStyle w:val="20"/>
                                    <w:rPr>
                                      <w:szCs w:val="21"/>
                                    </w:rPr>
                                  </w:pPr>
                                  <w:r>
                                    <w:rPr>
                                      <w:rFonts w:hint="eastAsia"/>
                                      <w:szCs w:val="21"/>
                                    </w:rPr>
                                    <w:t>伴生气燃烧废气</w:t>
                                  </w:r>
                                </w:p>
                              </w:txbxContent>
                            </wps:txbx>
                            <wps:bodyPr upright="1"/>
                          </wps:wsp>
                        </a:graphicData>
                      </a:graphic>
                    </wp:anchor>
                  </w:drawing>
                </mc:Choice>
                <mc:Fallback>
                  <w:pict>
                    <v:shape id="_x0000_s1026" o:spid="_x0000_s1026" o:spt="202" type="#_x0000_t202" style="position:absolute;left:0pt;margin-left:21.85pt;margin-top:3.2pt;height:22.85pt;width:93.9pt;z-index:251693056;mso-width-relative:page;mso-height-relative:page;" filled="f" stroked="f" coordsize="21600,21600" o:gfxdata="UEsDBAoAAAAAAIdO4kAAAAAAAAAAAAAAAAAEAAAAZHJzL1BLAwQUAAAACACHTuJAuH5UdtUAAAAH&#10;AQAADwAAAGRycy9kb3ducmV2LnhtbE2Ou07DQBBFeyT+YTVIdGT9SEIwXkeAREGRIoH0Y3tiW/HO&#10;Gu/GCXw9QwXl1X2dfH2xvZpo9J1jA/EsAkVcubrjxsDH++vdCpQPyDX2jsnAF3lYF9dXOWa1O/OW&#10;pl1olIywz9BAG8KQae2rliz6mRuIxTu40WIQOTa6HvEs47bXSRQttcWO5aHFgV5aqo67kxWMaV+m&#10;D+HJeb85JM9v37gpj5/G3N7E0SOoQJfwF4ZffOlAIUylO3HtVW9gnt5L0sByDkrsJI0XoEoDiyQG&#10;XeT6P3/xA1BLAwQUAAAACACHTuJAMJSIDbYBAABaAwAADgAAAGRycy9lMm9Eb2MueG1srVNLbtsw&#10;EN0X6B0I7mt9gjS1YDlAYKSboi2Q9gA0RVkESA7BoS35Au0Nuuqm+57L5+iQcpwi3WTRDTWcz5t5&#10;b6jV7WQNO6iAGlzLq0XJmXISOu12Lf/65f7NO84wCtcJA061/KiQ365fv1qNvlE1DGA6FRiBOGxG&#10;3/IhRt8UBcpBWYEL8MpRsIdgRaRr2BVdECOhW1PUZfm2GCF0PoBUiOTdzEF+RgwvAYS+11JtQO6t&#10;cnFGDcqISJRw0B75Ok/b90rGT32PKjLTcmIa80lNyN6ms1ivRLMLwg9ankcQLxnhGScrtKOmF6iN&#10;iILtg/4HymoZAKGPCwm2mIlkRYhFVT7T5mEQXmUuJDX6i+j4/2Dlx8PnwHTX8puKMycsbfz04/vp&#10;5+/Tr2+MfCTQ6LGhvAdPmXG6g4mezaMfyZl4T32w6UuMGMVJ3uNFXjVFJlNRtayvrygkKVYvy2p5&#10;nWCKp2ofML5XYFkyWh5ofVlVcfiAcU59TEnNHNxrY/IKjWMjdahvyjJXXEKEbhw1SSTmYZMVp+10&#10;ZraF7kjE9j7o3UBNM7WcTpLn6c7PI+3073sGffol1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uH5UdtUAAAAHAQAADwAAAAAAAAABACAAAAAiAAAAZHJzL2Rvd25yZXYueG1sUEsBAhQAFAAAAAgA&#10;h07iQDCUiA22AQAAWgMAAA4AAAAAAAAAAQAgAAAAJAEAAGRycy9lMm9Eb2MueG1sUEsFBgAAAAAG&#10;AAYAWQEAAEwFAAAAAA==&#10;">
                      <v:fill on="f" focussize="0,0"/>
                      <v:stroke on="f" weight="1pt"/>
                      <v:imagedata o:title=""/>
                      <o:lock v:ext="edit" aspectratio="f"/>
                      <v:textbox>
                        <w:txbxContent>
                          <w:p>
                            <w:pPr>
                              <w:pStyle w:val="20"/>
                              <w:rPr>
                                <w:szCs w:val="21"/>
                              </w:rPr>
                            </w:pPr>
                            <w:r>
                              <w:rPr>
                                <w:rFonts w:hint="eastAsia"/>
                                <w:szCs w:val="21"/>
                              </w:rPr>
                              <w:t>伴生气燃烧废气</w:t>
                            </w:r>
                          </w:p>
                        </w:txbxContent>
                      </v:textbox>
                    </v:shape>
                  </w:pict>
                </mc:Fallback>
              </mc:AlternateContent>
            </w:r>
          </w:p>
          <w:p>
            <w:pPr>
              <w:pStyle w:val="11"/>
              <w:ind w:firstLine="400"/>
            </w:pPr>
            <w:r>
              <mc:AlternateContent>
                <mc:Choice Requires="wps">
                  <w:drawing>
                    <wp:anchor distT="0" distB="0" distL="114300" distR="114300" simplePos="0" relativeHeight="251694080" behindDoc="0" locked="0" layoutInCell="1" allowOverlap="1">
                      <wp:simplePos x="0" y="0"/>
                      <wp:positionH relativeFrom="column">
                        <wp:posOffset>298450</wp:posOffset>
                      </wp:positionH>
                      <wp:positionV relativeFrom="paragraph">
                        <wp:posOffset>82550</wp:posOffset>
                      </wp:positionV>
                      <wp:extent cx="1133475" cy="52197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133475" cy="521970"/>
                              </a:xfrm>
                              <a:prstGeom prst="rect">
                                <a:avLst/>
                              </a:prstGeom>
                              <a:noFill/>
                              <a:ln w="12700">
                                <a:noFill/>
                              </a:ln>
                            </wps:spPr>
                            <wps:txbx>
                              <w:txbxContent>
                                <w:p>
                                  <w:pPr>
                                    <w:ind w:firstLine="0" w:firstLineChars="0"/>
                                    <w:jc w:val="center"/>
                                    <w:rPr>
                                      <w:sz w:val="21"/>
                                      <w:szCs w:val="21"/>
                                    </w:rPr>
                                  </w:pPr>
                                  <w:r>
                                    <w:rPr>
                                      <w:sz w:val="21"/>
                                      <w:szCs w:val="21"/>
                                    </w:rPr>
                                    <w:t>临时储罐无组织排放废气</w:t>
                                  </w:r>
                                </w:p>
                              </w:txbxContent>
                            </wps:txbx>
                            <wps:bodyPr upright="1"/>
                          </wps:wsp>
                        </a:graphicData>
                      </a:graphic>
                    </wp:anchor>
                  </w:drawing>
                </mc:Choice>
                <mc:Fallback>
                  <w:pict>
                    <v:shape id="_x0000_s1026" o:spid="_x0000_s1026" o:spt="202" type="#_x0000_t202" style="position:absolute;left:0pt;margin-left:23.5pt;margin-top:6.5pt;height:41.1pt;width:89.25pt;z-index:251694080;mso-width-relative:page;mso-height-relative:page;" filled="f" stroked="f" coordsize="21600,21600" o:gfxdata="UEsDBAoAAAAAAIdO4kAAAAAAAAAAAAAAAAAEAAAAZHJzL1BLAwQUAAAACACHTuJAftTPv9cAAAAI&#10;AQAADwAAAGRycy9kb3ducmV2LnhtbE2PMU/DQAyFdyT+w8lIbPTSlEAbcqkAiYGhA4XuTs5NouZ8&#10;IXdNC78eM8Fk2c9+/l6xPrteTTSGzrOB+SwBRVx723Fj4OP95WYJKkRki71nMvBFAdbl5UWBufUn&#10;fqNpGxslJhxyNNDGOORah7olh2HmB2LR9n50GKUdG21HPIm563WaJHfaYcfyocWBnluqD9ujE4xp&#10;Vy1W8dGHsNmnT6/fuKkOn8ZcX82TB1CRzvFvGX7x5QZKYar8kW1QvYHbe4kSZb6QKnqaZhmoysAq&#10;S0GXhf4foPwBUEsDBBQAAAAIAIdO4kBwagSBuAEAAFoDAAAOAAAAZHJzL2Uyb0RvYy54bWytU81u&#10;EzEQviPxDpbvZDdpQ2CVTaUqKhcESIUHcLx21pLtsTxOdvMC8AacuHDnufIcjJ00ReXSQy/e8fx8&#10;M9833uXN6Czbq4gGfMunk5oz5SV0xm9b/u3r3Zt3nGESvhMWvGr5QSG/Wb1+tRxCo2bQg+1UZATi&#10;sRlCy/uUQlNVKHvlBE4gKE9BDdGJRNe4rbooBkJ3tprV9dtqgNiFCFIhknd9CvIzYnwOIGhtpFqD&#10;3Dnl0wk1KisSUcLeBOSrMq3WSqbPWqNKzLacmKZyUhOyN/msVkvRbKMIvZHnEcRzRnjCyQnjqekF&#10;ai2SYLto/oNyRkZA0GkiwVUnIkURYjGtn2hz34ugCheSGsNFdHw5WPlp/yUy07V8fs2ZF442fvz5&#10;4/jrz/H3d0Y+EmgI2FDefaDMNN7CSM/mwY/kzLxHHV3+EiNGcZL3cJFXjYnJXDS9urpezDmTFJvP&#10;pu8XRf/qsTpETB8UOJaNlkdaX1FV7D9iokko9SElN/NwZ6wtK7SeDdRhtqjrUnEJUYn1VJlJnIbN&#10;Vho345nZBroDEduFaLY9NS3USjpJXlqen0fe6b/3Avr4S6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H7Uz7/XAAAACAEAAA8AAAAAAAAAAQAgAAAAIgAAAGRycy9kb3ducmV2LnhtbFBLAQIUABQA&#10;AAAIAIdO4kBwagSBuAEAAFoDAAAOAAAAAAAAAAEAIAAAACYBAABkcnMvZTJvRG9jLnhtbFBLBQYA&#10;AAAABgAGAFkBAABQBQAAAAA=&#10;">
                      <v:fill on="f" focussize="0,0"/>
                      <v:stroke on="f" weight="1pt"/>
                      <v:imagedata o:title=""/>
                      <o:lock v:ext="edit" aspectratio="f"/>
                      <v:textbox>
                        <w:txbxContent>
                          <w:p>
                            <w:pPr>
                              <w:ind w:firstLine="0" w:firstLineChars="0"/>
                              <w:jc w:val="center"/>
                              <w:rPr>
                                <w:sz w:val="21"/>
                                <w:szCs w:val="21"/>
                              </w:rPr>
                            </w:pPr>
                            <w:r>
                              <w:rPr>
                                <w:sz w:val="21"/>
                                <w:szCs w:val="21"/>
                              </w:rPr>
                              <w:t>临时储罐无组织排放废气</w:t>
                            </w:r>
                          </w:p>
                        </w:txbxContent>
                      </v:textbox>
                    </v:shap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1638300</wp:posOffset>
                      </wp:positionH>
                      <wp:positionV relativeFrom="paragraph">
                        <wp:posOffset>27305</wp:posOffset>
                      </wp:positionV>
                      <wp:extent cx="635" cy="577215"/>
                      <wp:effectExtent l="6350" t="0" r="12065" b="13335"/>
                      <wp:wrapNone/>
                      <wp:docPr id="72" name="直接连接符 72"/>
                      <wp:cNvGraphicFramePr/>
                      <a:graphic xmlns:a="http://schemas.openxmlformats.org/drawingml/2006/main">
                        <a:graphicData uri="http://schemas.microsoft.com/office/word/2010/wordprocessingShape">
                          <wps:wsp>
                            <wps:cNvCnPr/>
                            <wps:spPr>
                              <a:xfrm>
                                <a:off x="0" y="0"/>
                                <a:ext cx="635" cy="577215"/>
                              </a:xfrm>
                              <a:prstGeom prst="line">
                                <a:avLst/>
                              </a:prstGeom>
                              <a:ln w="12700" cap="flat" cmpd="sng">
                                <a:solidFill>
                                  <a:srgbClr val="000000"/>
                                </a:solidFill>
                                <a:prstDash val="dash"/>
                                <a:headEnd type="none" w="med" len="med"/>
                                <a:tailEnd type="none" w="med" len="med"/>
                              </a:ln>
                            </wps:spPr>
                            <wps:bodyPr/>
                          </wps:wsp>
                        </a:graphicData>
                      </a:graphic>
                    </wp:anchor>
                  </w:drawing>
                </mc:Choice>
                <mc:Fallback>
                  <w:pict>
                    <v:line id="_x0000_s1026" o:spid="_x0000_s1026" o:spt="20" style="position:absolute;left:0pt;margin-left:129pt;margin-top:2.15pt;height:45.45pt;width:0.05pt;z-index:251717632;mso-width-relative:page;mso-height-relative:page;" filled="f" stroked="t" coordsize="21600,21600" o:gfxdata="UEsDBAoAAAAAAIdO4kAAAAAAAAAAAAAAAAAEAAAAZHJzL1BLAwQUAAAACACHTuJAK7FO+dQAAAAI&#10;AQAADwAAAGRycy9kb3ducmV2LnhtbE2PwU7DMBBE70j8g7VIXBB1YmjVhjgVqlTutAiuTrzEEfHa&#10;it02/D3LCY6jGc28qbezH8UZpzQE0lAuChBIXbAD9Rrejvv7NYiUDVkzBkIN35hg21xf1aay4UKv&#10;eD7kXnAJpcpocDnHSsrUOfQmLUJEYu8zTN5kllMv7WQuXO5HqYpiJb0ZiBecibhz2H0dTl7DTPu4&#10;WQVUH6rduYjPLz7fvWt9e1MWTyAyzvkvDL/4jA4NM7XhRDaJUYNarvlL1vD4AIJ91iWIVsNmqUA2&#10;tfx/oPkBUEsDBBQAAAAIAIdO4kAQJ4yg7wEAANsDAAAOAAAAZHJzL2Uyb0RvYy54bWytU72OEzEQ&#10;7pF4B8s92SQoF7TK5ooLR4MgEvAAE9ubteQ/eXzZ5CV4ASQ6qCjpeRvuHoOxN+S4uyYFW3jH45nP&#10;830zXlzurWE7FVF71/DJaMyZcsJL7bYN//Tx+sUrzjCBk2C8Uw0/KOSXy+fPFn2o1dR33kgVGYE4&#10;rPvQ8C6lUFcVik5ZwJEPytFh66OFRNu4rWSEntCtqabj8UXV+yhD9EIhknc1HPIjYjwH0LetFmrl&#10;xY1VLg2oURlIRAk7HZAvS7Vtq0R637aoEjMNJ6aprHQJ2Zu8VssF1NsIodPiWAKcU8IjTha0o0tP&#10;UCtIwG6ifgJltYgefZtGwttqIFIUIRaT8SNtPnQQVOFCUmM4iY7/D1a8260j07Lh8ylnDix1/PbL&#10;z9+fv939+krr7Y/vjE5Ipj5gTdFXbh2POwzrmDnv22jzn9iwfZH2cJJW7RMT5Lx4OeNMkH82n08n&#10;swxY3WeGiOmN8pZlo+FGu0wbati9xTSE/g3JbuNYT6M7nY+pjQJoCFtqPpk2EBF025KM3mh5rY3J&#10;KRi3mysT2Q7yIJTvWMODsHzLCrAb4iRZOQrqToF87SRLh0ACOXoYPJdgleTMKHpH2SqRCbQ5J5LY&#10;G0ciZFkHIbO18fJQ9C1+6nmR6Tifeaj+3Zfs+ze5/A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r&#10;sU751AAAAAgBAAAPAAAAAAAAAAEAIAAAACIAAABkcnMvZG93bnJldi54bWxQSwECFAAUAAAACACH&#10;TuJAECeMoO8BAADbAwAADgAAAAAAAAABACAAAAAjAQAAZHJzL2Uyb0RvYy54bWxQSwUGAAAAAAYA&#10;BgBZAQAAhAUAAAAA&#10;">
                      <v:fill on="f" focussize="0,0"/>
                      <v:stroke weight="1pt" color="#000000" joinstyle="round" dashstyle="dash"/>
                      <v:imagedata o:title=""/>
                      <o:lock v:ext="edit" aspectratio="f"/>
                    </v:lin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1390650</wp:posOffset>
                      </wp:positionH>
                      <wp:positionV relativeFrom="paragraph">
                        <wp:posOffset>37465</wp:posOffset>
                      </wp:positionV>
                      <wp:extent cx="236855" cy="0"/>
                      <wp:effectExtent l="0" t="38100" r="10795" b="38100"/>
                      <wp:wrapNone/>
                      <wp:docPr id="73" name="直接连接符 73"/>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09.5pt;margin-top:2.95pt;height:0pt;width:18.65pt;z-index:251714560;mso-width-relative:page;mso-height-relative:page;" filled="f" stroked="t" coordsize="21600,21600" o:gfxdata="UEsDBAoAAAAAAIdO4kAAAAAAAAAAAAAAAAAEAAAAZHJzL1BLAwQUAAAACACHTuJA2ywRZNYAAAAH&#10;AQAADwAAAGRycy9kb3ducmV2LnhtbE2Py2rDMBRE94X8g7iF7hrJLklt13IIgUJJFyGpu5et6we1&#10;roylvP6+Sjbtcphh5ky+upiBnXByvSUJ0VwAQ6qt7qmVUH69PyfAnFek1WAJJVzRwaqYPeQq0/ZM&#10;ezwdfMtCCblMSei8HzPOXd2hUW5uR6TgNXYyygc5tVxP6hzKzcBjIZbcqJ7CQqdG3HRY/xyORsK2&#10;2qUfyaddC9vstsn1tfzeNKWUT4+ReAPm8eL/wnDDD+hQBKbKHkk7NkiIozR88RIWKbDgx4vlC7Dq&#10;rnmR8//8xS9QSwMEFAAAAAgAh07iQOh2nC32AQAA3QMAAA4AAABkcnMvZTJvRG9jLnhtbK1TzW4T&#10;MRC+I/EOlu9k01T90SqbHhrKBUEk4AEmtnfXkv/kcbPJS/ACSNzgxJE7b0P7GIy9aQKFQw/swTse&#10;z3wz3+fx/GprDduoiNq7hp9MppwpJ7zUrmv4h/c3Ly45wwROgvFONXynkF8tnj+bD6FWM997I1Vk&#10;BOKwHkLD+5RCXVUoemUBJz4oR4etjxYSbWNXyQgDoVtTzabT82rwUYbohUIk73I85HvE+BRA37Za&#10;qKUXt1a5NKJGZSARJex1QL4o3batEult26JKzDScmKayUhGy13mtFnOouwih12LfAjylhUecLGhH&#10;RQ9QS0jAbqP+C8pqET36Nk2Et9VIpChCLE6mj7R510NQhQtJjeEgOv4/WPFms4pMy4ZfnHLmwNKN&#10;3336/vPjl/sfn2m9+/aV0QnJNASsKfrareJ+h2EVM+dtG23+Exu2LdLuDtKqbWKCnLPT88uzM87E&#10;w1F1zAsR0yvlLctGw412mTTUsHmNiWpR6ENIdhvHBhrc2cWULlEAjWBLV0+mDUQDXVeS0Rstb7Qx&#10;OQVjt742kW0gj0H5MiUC/iMsV1kC9mOcJGucj16BfOkkS7tA8qSowXVG8dyGVZIzo+glZYswoU6g&#10;zTHa0SP6dyRVN46ayMKOUmZr7eWuKFz8dOulzf2E5rH6fV+yj69y8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bLBFk1gAAAAcBAAAPAAAAAAAAAAEAIAAAACIAAABkcnMvZG93bnJldi54bWxQSwEC&#10;FAAUAAAACACHTuJA6HacLfYBAADdAwAADgAAAAAAAAABACAAAAAlAQAAZHJzL2Uyb0RvYy54bWxQ&#10;SwUGAAAAAAYABgBZAQAAjQUAAAAA&#10;">
                      <v:fill on="f" focussize="0,0"/>
                      <v:stroke weight="1pt" color="#000000" joinstyle="round" dashstyle="dash" startarrow="block"/>
                      <v:imagedata o:title=""/>
                      <o:lock v:ext="edit" aspectratio="f"/>
                    </v:lin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3586480</wp:posOffset>
                      </wp:positionH>
                      <wp:positionV relativeFrom="paragraph">
                        <wp:posOffset>59055</wp:posOffset>
                      </wp:positionV>
                      <wp:extent cx="1265555" cy="276225"/>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1265555" cy="276225"/>
                              </a:xfrm>
                              <a:prstGeom prst="rect">
                                <a:avLst/>
                              </a:prstGeom>
                              <a:noFill/>
                              <a:ln w="12700">
                                <a:noFill/>
                              </a:ln>
                            </wps:spPr>
                            <wps:txbx>
                              <w:txbxContent>
                                <w:p>
                                  <w:pPr>
                                    <w:ind w:firstLine="0" w:firstLineChars="0"/>
                                    <w:rPr>
                                      <w:sz w:val="21"/>
                                      <w:szCs w:val="21"/>
                                    </w:rPr>
                                  </w:pPr>
                                  <w:r>
                                    <w:rPr>
                                      <w:snapToGrid w:val="0"/>
                                      <w:sz w:val="21"/>
                                      <w:szCs w:val="21"/>
                                    </w:rPr>
                                    <w:t>事故状态下落地油</w:t>
                                  </w:r>
                                </w:p>
                              </w:txbxContent>
                            </wps:txbx>
                            <wps:bodyPr upright="1"/>
                          </wps:wsp>
                        </a:graphicData>
                      </a:graphic>
                    </wp:anchor>
                  </w:drawing>
                </mc:Choice>
                <mc:Fallback>
                  <w:pict>
                    <v:shape id="_x0000_s1026" o:spid="_x0000_s1026" o:spt="202" type="#_x0000_t202" style="position:absolute;left:0pt;margin-left:282.4pt;margin-top:4.65pt;height:21.75pt;width:99.65pt;z-index:251699200;mso-width-relative:page;mso-height-relative:page;" filled="f" stroked="f" coordsize="21600,21600" o:gfxdata="UEsDBAoAAAAAAIdO4kAAAAAAAAAAAAAAAAAEAAAAZHJzL1BLAwQUAAAACACHTuJAb8m8vNcAAAAI&#10;AQAADwAAAGRycy9kb3ducmV2LnhtbE2PsU7DQAyGdyTe4WQkNnpJWtI25FIBEgNDBwrdncRNouZ8&#10;IXdNC0+PmWC0Pvv39+ebi+3VRKPvHBuIZxEo4srVHTcGPt5f7lagfECusXdMBr7Iw6a4vsoxq92Z&#10;32jahUZJCPsMDbQhDJnWvmrJop+5gVjYwY0Wg4xjo+sRzxJue51EUaotdiwfWhzouaXquDtZ0Zj2&#10;5XwdHp3320Py9PqN2/L4acztTRw9gAp0CX/L8KsvN1CIU+lOXHvVG7hPF6IeDKznoIQv00UMqhSQ&#10;rEAXuf5foPgBUEsDBBQAAAAIAIdO4kA8rEyAtQEAAFoDAAAOAAAAZHJzL2Uyb0RvYy54bWytU0tu&#10;2zAQ3RfIHQjuaykCYheC5QCFkW6CpkDaA9AUaREgOQSHtuQLNDfoqpvuey6fo0PacYp0k0W1oMj5&#10;vJn3hlzeTs6yvYpowHf8elZzpryE3vhtx799vXv/gTNMwvfCglcdPyjkt6urd8sxtKqBAWyvIiMQ&#10;j+0YOj6kFNqqQjkoJ3AGQXlyaohOJDrGbdVHMRK6s1VT1/NqhNiHCFIhknV9cvIzYnwLIGhtpFqD&#10;3Dnl0wk1KisSUcLBBOSr0q3WSqYHrVElZjtOTFNZqQjtN3mtVkvRbqMIg5HnFsRbWnjFyQnjqegF&#10;ai2SYLto/oFyRkZA0GkmwVUnIkURYnFdv9LmcRBBFS4kNYaL6Pj/YOXn/ZfITN/xxQ1nXjia+PHH&#10;0/Hn7+Ov74xsJNAYsKW4x0CRafoIE12bZzuSMfOedHT5T4wY+Unew0VeNSUmc1Izv6GPM0m+ZjFv&#10;mgJfvWSHiOmTAsfypuORxldUFft7TNQJhT6H5GIe7oy1ZYTWszFXWNR1ybi4KMV6yswkTs3mXZo2&#10;05nZBvoDEduFaLYDFS3USjhJXkqer0ee6d/nAvryJF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JvLzXAAAACAEAAA8AAAAAAAAAAQAgAAAAIgAAAGRycy9kb3ducmV2LnhtbFBLAQIUABQAAAAI&#10;AIdO4kA8rEyAtQEAAFoDAAAOAAAAAAAAAAEAIAAAACYBAABkcnMvZTJvRG9jLnhtbFBLBQYAAAAA&#10;BgAGAFkBAABNBQAAAAA=&#10;">
                      <v:fill on="f" focussize="0,0"/>
                      <v:stroke on="f" weight="1pt"/>
                      <v:imagedata o:title=""/>
                      <o:lock v:ext="edit" aspectratio="f"/>
                      <v:textbox>
                        <w:txbxContent>
                          <w:p>
                            <w:pPr>
                              <w:ind w:firstLine="0" w:firstLineChars="0"/>
                              <w:rPr>
                                <w:sz w:val="21"/>
                                <w:szCs w:val="21"/>
                              </w:rPr>
                            </w:pPr>
                            <w:r>
                              <w:rPr>
                                <w:snapToGrid w:val="0"/>
                                <w:sz w:val="21"/>
                                <w:szCs w:val="21"/>
                              </w:rPr>
                              <w:t>事故状态下落地油</w:t>
                            </w:r>
                          </w:p>
                        </w:txbxContent>
                      </v:textbox>
                    </v:shap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3335655</wp:posOffset>
                      </wp:positionH>
                      <wp:positionV relativeFrom="paragraph">
                        <wp:posOffset>178435</wp:posOffset>
                      </wp:positionV>
                      <wp:extent cx="635" cy="365760"/>
                      <wp:effectExtent l="6350" t="0" r="12065" b="15240"/>
                      <wp:wrapNone/>
                      <wp:docPr id="65" name="直接连接符 65"/>
                      <wp:cNvGraphicFramePr/>
                      <a:graphic xmlns:a="http://schemas.openxmlformats.org/drawingml/2006/main">
                        <a:graphicData uri="http://schemas.microsoft.com/office/word/2010/wordprocessingShape">
                          <wps:wsp>
                            <wps:cNvCnPr/>
                            <wps:spPr>
                              <a:xfrm>
                                <a:off x="0" y="0"/>
                                <a:ext cx="635" cy="365760"/>
                              </a:xfrm>
                              <a:prstGeom prst="line">
                                <a:avLst/>
                              </a:prstGeom>
                              <a:ln w="12700" cap="flat" cmpd="sng">
                                <a:solidFill>
                                  <a:srgbClr val="000000"/>
                                </a:solidFill>
                                <a:prstDash val="dash"/>
                                <a:headEnd type="none" w="med" len="med"/>
                                <a:tailEnd type="none" w="med" len="med"/>
                              </a:ln>
                            </wps:spPr>
                            <wps:bodyPr/>
                          </wps:wsp>
                        </a:graphicData>
                      </a:graphic>
                    </wp:anchor>
                  </w:drawing>
                </mc:Choice>
                <mc:Fallback>
                  <w:pict>
                    <v:line id="_x0000_s1026" o:spid="_x0000_s1026" o:spt="20" style="position:absolute;left:0pt;margin-left:262.65pt;margin-top:14.05pt;height:28.8pt;width:0.05pt;z-index:251697152;mso-width-relative:page;mso-height-relative:page;" filled="f" stroked="t" coordsize="21600,21600" o:gfxdata="UEsDBAoAAAAAAIdO4kAAAAAAAAAAAAAAAAAEAAAAZHJzL1BLAwQUAAAACACHTuJAVdSUEdUAAAAJ&#10;AQAADwAAAGRycy9kb3ducmV2LnhtbE2PwU7DMAyG70i8Q2QkLoilDXSU0nRCk8adgeCaNqapaJyq&#10;ybby9pgTO9r+9Pv7683iR3HEOQ6BNOSrDARSF+xAvYb3t91tCSImQ9aMgVDDD0bYNJcXtalsONEr&#10;HvepFxxCsTIaXEpTJWXsHHoTV2FC4ttXmL1JPM69tLM5cbgfpcqytfRmIP7gzIRbh933/uA1LLSb&#10;HtcB1adqt27C5xefbj60vr7KsycQCZf0D8OfPqtDw05tOJCNYtRQqOKOUQ2qzEEwwIt7EK2GsngA&#10;2dTyvEHzC1BLAwQUAAAACACHTuJAP61PMfEBAADbAwAADgAAAGRycy9lMm9Eb2MueG1srVNLjhMx&#10;EN0jcQfLe9I9GU0GtdKZxYRhgyAScICK7U5b8k8uTzq5BBdAYgcrluy5DcMxKLtD5sMmC3rhLper&#10;XtV7Ls+vdtawrYqovWv52aTmTDnhpXabln/8cPPiJWeYwEkw3qmW7xXyq8XzZ/MhNGrqe2+kioxA&#10;HDZDaHmfUmiqCkWvLODEB+XosPPRQqJt3FQywkDo1lTTup5Vg48yRC8UInmX4yE/IMZTAH3XaaGW&#10;Xtxa5dKIGpWBRJSw1wH5onTbdUqkd12HKjHTcmKaykpFyF7ntVrModlECL0WhxbglBaecLKgHRU9&#10;Qi0hAbuN+h8oq0X06Ls0Ed5WI5GiCLE4q59o876HoAoXkhrDUXT8f7Di7XYVmZYtn11w5sDSjd99&#10;/vHr09ffP7/Qevf9G6MTkmkI2FD0tVvFww7DKmbOuy7a/Cc2bFek3R+lVbvEBDln5wQvyH8+u7ic&#10;Fd2r+8wQMb1W3rJstNxol2lDA9s3mKgahf4NyW7j2ECjO72s6RoF0BB2dPlk2kBE0G1KMnqj5Y02&#10;Jqdg3KyvTWRbyINQvkyKgB+F5SpLwH6Mk2SNE9IrkK+cZGkfSCBHD4PnFqySnBlF7yhbhAdNAm1O&#10;iaTKxlEDWdZRyGytvdwXfYuf7ry0eJjPPFQP9yX7/k0u/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V1JQR1QAAAAkBAAAPAAAAAAAAAAEAIAAAACIAAABkcnMvZG93bnJldi54bWxQSwECFAAUAAAA&#10;CACHTuJAP61PMfEBAADbAwAADgAAAAAAAAABACAAAAAkAQAAZHJzL2Uyb0RvYy54bWxQSwUGAAAA&#10;AAYABgBZAQAAhwUAAAAA&#10;">
                      <v:fill on="f" focussize="0,0"/>
                      <v:stroke weight="1pt" color="#000000" joinstyle="round" dashstyle="dash"/>
                      <v:imagedata o:title=""/>
                      <o:lock v:ext="edit" aspectratio="f"/>
                    </v:lin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3362960</wp:posOffset>
                      </wp:positionH>
                      <wp:positionV relativeFrom="paragraph">
                        <wp:posOffset>188595</wp:posOffset>
                      </wp:positionV>
                      <wp:extent cx="236855" cy="0"/>
                      <wp:effectExtent l="0" t="38100" r="10795" b="38100"/>
                      <wp:wrapNone/>
                      <wp:docPr id="57" name="直接连接符 57"/>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64.8pt;margin-top:14.85pt;height:0pt;width:18.65pt;z-index:251696128;mso-width-relative:page;mso-height-relative:page;" filled="f" stroked="t" coordsize="21600,21600" o:gfxdata="UEsDBAoAAAAAAIdO4kAAAAAAAAAAAAAAAAAEAAAAZHJzL1BLAwQUAAAACACHTuJAkx7K99oAAAAJ&#10;AQAADwAAAGRycy9kb3ducmV2LnhtbE2PTUvDQBCG74X+h2UKXkq720CiidkUKRQpCGL10ttmd5oE&#10;s7Mxu/3QX++KBz3OzMM7z1uur7ZnZxx950jCaimAIWlnOmokvL1uF3fAfFBkVO8IJXyih3U1nZSq&#10;MO5CL3jeh4bFEPKFktCGMBSce92iVX7pBqR4O7rRqhDHseFmVJcYbnueCJFxqzqKH1o14KZF/b4/&#10;WQkPT7q2zwNq8bg7bI+bj3T+RTspb2YrcQ8s4DX8wfCjH9Whik61O5HxrJeQJnkWUQlJfgssAmmW&#10;5cDq3wWvSv6/QfUNUEsDBBQAAAAIAIdO4kBB25Mj9QEAAN0DAAAOAAAAZHJzL2Uyb0RvYy54bWyt&#10;U81uEzEQviPxDpbvZNOgtNUqmx4aygVBJOABJrZ315L/5HGzyUvwAkjc4MSRO29DeQzG3jSBIqQe&#10;2IN3PJ75Zr7P48XVzhq2VRG1dw0/m0w5U054qV3X8Pfvbp5dcoYJnATjnWr4XiG/Wj59shhCrWa+&#10;90aqyAjEYT2EhvcphbqqUPTKAk58UI4OWx8tJNrGrpIRBkK3pppNp+fV4KMM0QuFSN7VeMgPiPEx&#10;gL5ttVArL26tcmlEjcpAIkrY64B8WbptWyXSm7ZFlZhpODFNZaUiZG/yWi0XUHcRQq/FoQV4TAsP&#10;OFnQjooeoVaQgN1G/ReU1SJ69G2aCG+rkUhRhFicTR9o87aHoAoXkhrDUXT8f7Di9XYdmZYNn19w&#10;5sDSjd99/Pbjw+ef3z/Revf1C6MTkmkIWFP0tVvHww7DOmbOuzba/Cc2bFek3R+lVbvEBDlnz88v&#10;53POxP1RdcoLEdNL5S3LRsONdpk01LB9hYlqUeh9SHYbxwYa3NnFlC5RAI1gS1dPpg1EA11XktEb&#10;LW+0MTkFY7e5NpFtIY9B+TIlAv4jLFdZAfZjnCRrnI9egXzhJEv7QPI4ehY8t2CV5MwoekXZIjyo&#10;E2hzikxRg+vMP6KpunHURBZ2lDJbGy/3ReHip1svbR4mNI/V7/uSfXqV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THsr32gAAAAkBAAAPAAAAAAAAAAEAIAAAACIAAABkcnMvZG93bnJldi54bWxQ&#10;SwECFAAUAAAACACHTuJAQduTI/UBAADdAwAADgAAAAAAAAABACAAAAApAQAAZHJzL2Uyb0RvYy54&#10;bWxQSwUGAAAAAAYABgBZAQAAkAUAAAAA&#10;">
                      <v:fill on="f" focussize="0,0"/>
                      <v:stroke weight="1pt" color="#000000" joinstyle="round" dashstyle="dash" endarrow="block"/>
                      <v:imagedata o:title=""/>
                      <o:lock v:ext="edit" aspectratio="f"/>
                    </v:lin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2082800</wp:posOffset>
                      </wp:positionH>
                      <wp:positionV relativeFrom="paragraph">
                        <wp:posOffset>157480</wp:posOffset>
                      </wp:positionV>
                      <wp:extent cx="769620" cy="302260"/>
                      <wp:effectExtent l="6350" t="6350" r="24130" b="15240"/>
                      <wp:wrapNone/>
                      <wp:docPr id="61" name="文本框 61"/>
                      <wp:cNvGraphicFramePr/>
                      <a:graphic xmlns:a="http://schemas.openxmlformats.org/drawingml/2006/main">
                        <a:graphicData uri="http://schemas.microsoft.com/office/word/2010/wordprocessingShape">
                          <wps:wsp>
                            <wps:cNvSpPr txBox="1"/>
                            <wps:spPr>
                              <a:xfrm>
                                <a:off x="0" y="0"/>
                                <a:ext cx="769620" cy="302260"/>
                              </a:xfrm>
                              <a:prstGeom prst="rect">
                                <a:avLst/>
                              </a:prstGeom>
                              <a:noFill/>
                              <a:ln w="12700" cap="flat" cmpd="sng">
                                <a:solidFill>
                                  <a:srgbClr val="000000"/>
                                </a:solidFill>
                                <a:prstDash val="solid"/>
                                <a:miter/>
                                <a:headEnd type="none" w="med" len="med"/>
                                <a:tailEnd type="none" w="med" len="med"/>
                              </a:ln>
                            </wps:spPr>
                            <wps:txbx>
                              <w:txbxContent>
                                <w:p>
                                  <w:pPr>
                                    <w:pStyle w:val="20"/>
                                    <w:rPr>
                                      <w:szCs w:val="21"/>
                                    </w:rPr>
                                  </w:pPr>
                                  <w:r>
                                    <w:rPr>
                                      <w:rFonts w:hint="eastAsia"/>
                                      <w:szCs w:val="21"/>
                                    </w:rPr>
                                    <w:t>试油工程</w:t>
                                  </w:r>
                                </w:p>
                              </w:txbxContent>
                            </wps:txbx>
                            <wps:bodyPr upright="1"/>
                          </wps:wsp>
                        </a:graphicData>
                      </a:graphic>
                    </wp:anchor>
                  </w:drawing>
                </mc:Choice>
                <mc:Fallback>
                  <w:pict>
                    <v:shape id="_x0000_s1026" o:spid="_x0000_s1026" o:spt="202" type="#_x0000_t202" style="position:absolute;left:0pt;margin-left:164pt;margin-top:12.4pt;height:23.8pt;width:60.6pt;z-index:251673600;mso-width-relative:page;mso-height-relative:page;" filled="f" stroked="t" coordsize="21600,21600" o:gfxdata="UEsDBAoAAAAAAIdO4kAAAAAAAAAAAAAAAAAEAAAAZHJzL1BLAwQUAAAACACHTuJAOHl9W9YAAAAJ&#10;AQAADwAAAGRycy9kb3ducmV2LnhtbE2PQU7DMBBF90jcwRokdtSpGyCETCoEyhKhBg7gxNM4IrYj&#10;222T22NWsBzN1//vVfvFTOxMPozOImw3GTCyvVOjHRC+Ppu7AliI0io5OUsIKwXY19dXlSyVu9gD&#10;nds4sFRiQykRdIxzyXnoNRkZNm4mm35H542M6fQDV15eUrmZuMiyB27kaNOCljO9auq/25NBWMSq&#10;m53r317yVq/Hj6Jr3u894u3NNnsGFmmJf2H4xU/oUCemzp2sCmxC2IkiuUQEkSeFFMjzJwGsQ3gU&#10;OfC64v8N6h9QSwMEFAAAAAgAh07iQNZaXYYGAgAADwQAAA4AAABkcnMvZTJvRG9jLnhtbK1TzY7T&#10;MBC+I/EOlu80aZCyEDVdCcpyQYC0ywO4tpNY8p88bpO+ALwBJy7cea4+B2On22V3Lz2QQzKZGX8z&#10;3zfj1fVkNNnLAMrZli4XJSXScieU7Vv67e7m1RtKIDIrmHZWtvQggV6vX75Yjb6RlRucFjIQBLHQ&#10;jL6lQ4y+KQrggzQMFs5Li8HOBcMi/oa+EIGNiG50UZVlXYwuCB8clwDo3cxBekIMlwC6rlNcbhzf&#10;GWnjjBqkZhEpwaA80HXutuskj1+6DmQkuqXINOY3FkF7m97FesWaPjA/KH5qgV3SwhNOhimLRc9Q&#10;GxYZ2QX1DMooHhy4Li64M8VMJCuCLJblE21uB+Zl5oJSgz+LDv8Pln/efw1EiZbWS0osMzjx488f&#10;x19/jr+/E/ShQKOHBvNuPWbG6Z2bcG3u/YDOxHvqgklfZEQwjvIezvLKKRKOzqv6bV1hhGPodVlV&#10;dZa/eDjsA8SP0hmSjJYGnF4Wle0/QcRGMPU+JdWy7kZpnSeoLRmxq+qqTPgM17LDdUDTeKQGts84&#10;4LQS6Uw6DaHfvteB7FlajfwkUljjUVoquGEwzHk5NC+NUVGGXHyQTHywgsSDR/Us3hqaujFSUKIl&#10;XrJk5czIlL4kE5vQFntJys8KJytO2wlhkrl14oDT2Pmg+gGlyvPI6bgnmcRpp9Mi/vufQR/u8f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OHl9W9YAAAAJAQAADwAAAAAAAAABACAAAAAiAAAAZHJz&#10;L2Rvd25yZXYueG1sUEsBAhQAFAAAAAgAh07iQNZaXYYGAgAADwQAAA4AAAAAAAAAAQAgAAAAJQEA&#10;AGRycy9lMm9Eb2MueG1sUEsFBgAAAAAGAAYAWQEAAJ0FAAAAAA==&#10;">
                      <v:fill on="f" focussize="0,0"/>
                      <v:stroke weight="1pt" color="#000000" joinstyle="miter"/>
                      <v:imagedata o:title=""/>
                      <o:lock v:ext="edit" aspectratio="f"/>
                      <v:textbox>
                        <w:txbxContent>
                          <w:p>
                            <w:pPr>
                              <w:pStyle w:val="20"/>
                              <w:rPr>
                                <w:szCs w:val="21"/>
                              </w:rPr>
                            </w:pPr>
                            <w:r>
                              <w:rPr>
                                <w:rFonts w:hint="eastAsia"/>
                                <w:szCs w:val="21"/>
                              </w:rPr>
                              <w:t>试油工程</w:t>
                            </w:r>
                          </w:p>
                        </w:txbxContent>
                      </v:textbox>
                    </v:shape>
                  </w:pict>
                </mc:Fallback>
              </mc:AlternateContent>
            </w:r>
          </w:p>
          <w:p>
            <w:pPr>
              <w:ind w:firstLine="420"/>
              <w:jc w:val="left"/>
              <w:rPr>
                <w:b/>
                <w:sz w:val="21"/>
                <w:szCs w:val="21"/>
              </w:rPr>
            </w:pPr>
            <w:r>
              <w:rPr>
                <w:sz w:val="21"/>
              </w:rPr>
              <mc:AlternateContent>
                <mc:Choice Requires="wps">
                  <w:drawing>
                    <wp:anchor distT="0" distB="0" distL="114300" distR="114300" simplePos="0" relativeHeight="251674624" behindDoc="0" locked="0" layoutInCell="1" allowOverlap="1">
                      <wp:simplePos x="0" y="0"/>
                      <wp:positionH relativeFrom="column">
                        <wp:posOffset>2466975</wp:posOffset>
                      </wp:positionH>
                      <wp:positionV relativeFrom="paragraph">
                        <wp:posOffset>155575</wp:posOffset>
                      </wp:positionV>
                      <wp:extent cx="6985" cy="512445"/>
                      <wp:effectExtent l="36830" t="0" r="32385" b="1905"/>
                      <wp:wrapNone/>
                      <wp:docPr id="68" name="直接连接符 68"/>
                      <wp:cNvGraphicFramePr/>
                      <a:graphic xmlns:a="http://schemas.openxmlformats.org/drawingml/2006/main">
                        <a:graphicData uri="http://schemas.microsoft.com/office/word/2010/wordprocessingShape">
                          <wps:wsp>
                            <wps:cNvCnPr/>
                            <wps:spPr>
                              <a:xfrm flipH="1">
                                <a:off x="0" y="0"/>
                                <a:ext cx="6985" cy="512445"/>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94.25pt;margin-top:12.25pt;height:40.35pt;width:0.55pt;z-index:251674624;mso-width-relative:page;mso-height-relative:page;" filled="f" stroked="t" coordsize="21600,21600" o:gfxdata="UEsDBAoAAAAAAIdO4kAAAAAAAAAAAAAAAAAEAAAAZHJzL1BLAwQUAAAACACHTuJAHed6BdoAAAAK&#10;AQAADwAAAGRycy9kb3ducmV2LnhtbE2PTUvEMBCG74L/IYzgzU22+1Vr0z0o4oIgbF3xmm3Gtmwy&#10;KU32w3/veNLTMMzDO89bri/eiROOsQ+kYTpRIJCaYHtqNezen+9yEDEZssYFQg3fGGFdXV+VprDh&#10;TFs81akVHEKxMBq6lIZCyth06E2chAGJb19h9CbxOrbSjubM4d7JTKml9KYn/tCZAR87bA710Wvw&#10;7YD15+vh5WnzsV3tVvNm496i1rc3U/UAIuEl/cHwq8/qULHTPhzJRuE0zPJ8waiGbM6TgVl+vwSx&#10;Z1ItMpBVKf9XqH4AUEsDBBQAAAAIAIdO4kD6iMR4/wEAAOsDAAAOAAAAZHJzL2Uyb0RvYy54bWyt&#10;U0uOEzEQ3SNxB8t70p1oEoZWOrOYMLBAEAk4QMWfbkv+yfakk0twASR2sGLJfm7DcAzK7pCBQUiz&#10;wAur7Hp+rvdcXl7sjSY7EaJytqXTSU2JsMxxZbuWvn939eSckpjActDOipYeRKQXq8ePloNvxMz1&#10;TnMRCJLY2Ay+pX1KvqmqyHphIE6cFxaT0gUDCZehq3iAAdmNrmZ1vagGF7gPjokYcXc9JumRMTyE&#10;0EmpmFg7dm2ETSNrEBoSSoq98pGuSrVSCpbeSBlFIrqlqDSVGS/BeJvnarWEpgvge8WOJcBDSrin&#10;yYCyeOmJag0JyHVQf1EZxYKLTqYJc6YahRRHUMW0vufN2x68KFrQ6uhPpsf/R8te7zaBKN7SBb67&#10;BYMvfvvx2/cPn3/cfML59usXghm0afCxQfSl3YTjKvpNyJr3MhgitfIvsZ+KC6iL7IvJh5PJYp8I&#10;w83Fs/M5JQwT8+ns7GyeuauRJJP5ENML4QzJQUu1stkBaGD3KqYR+guSt7UlA946e1rjizLAfpTY&#10;Bxgaj5qi7crh6LTiV0rrfCSGbnupA9lB7okyjjX8Acu3rCH2I66kMgyaXgB/bjlJB49mWfwkNNdg&#10;BKdEC/xTOSrIBErfIVNQYDv9DzRaoC06kW0ejc3R1vFD8bvsYw8Ur479mpvs93U5ffdHVz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ed6BdoAAAAKAQAADwAAAAAAAAABACAAAAAiAAAAZHJzL2Rv&#10;d25yZXYueG1sUEsBAhQAFAAAAAgAh07iQPqIxHj/AQAA6wMAAA4AAAAAAAAAAQAgAAAAKQEAAGRy&#10;cy9lMm9Eb2MueG1sUEsFBgAAAAAGAAYAWQEAAJoFAAAAAA==&#10;">
                      <v:fill on="f" focussize="0,0"/>
                      <v:stroke weight="1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701248" behindDoc="0" locked="0" layoutInCell="1" allowOverlap="1">
                      <wp:simplePos x="0" y="0"/>
                      <wp:positionH relativeFrom="column">
                        <wp:posOffset>3608070</wp:posOffset>
                      </wp:positionH>
                      <wp:positionV relativeFrom="paragraph">
                        <wp:posOffset>177165</wp:posOffset>
                      </wp:positionV>
                      <wp:extent cx="1026795" cy="276225"/>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026795" cy="276225"/>
                              </a:xfrm>
                              <a:prstGeom prst="rect">
                                <a:avLst/>
                              </a:prstGeom>
                              <a:noFill/>
                              <a:ln w="12700">
                                <a:noFill/>
                              </a:ln>
                            </wps:spPr>
                            <wps:txbx>
                              <w:txbxContent>
                                <w:p>
                                  <w:pPr>
                                    <w:ind w:firstLine="0" w:firstLineChars="0"/>
                                    <w:rPr>
                                      <w:sz w:val="21"/>
                                      <w:szCs w:val="21"/>
                                    </w:rPr>
                                  </w:pPr>
                                  <w:r>
                                    <w:rPr>
                                      <w:rFonts w:hint="eastAsia"/>
                                      <w:sz w:val="21"/>
                                      <w:szCs w:val="21"/>
                                    </w:rPr>
                                    <w:t>废弃防渗膜</w:t>
                                  </w:r>
                                </w:p>
                              </w:txbxContent>
                            </wps:txbx>
                            <wps:bodyPr upright="1"/>
                          </wps:wsp>
                        </a:graphicData>
                      </a:graphic>
                    </wp:anchor>
                  </w:drawing>
                </mc:Choice>
                <mc:Fallback>
                  <w:pict>
                    <v:shape id="_x0000_s1026" o:spid="_x0000_s1026" o:spt="202" type="#_x0000_t202" style="position:absolute;left:0pt;margin-left:284.1pt;margin-top:13.95pt;height:21.75pt;width:80.85pt;z-index:251701248;mso-width-relative:page;mso-height-relative:page;" filled="f" stroked="f" coordsize="21600,21600" o:gfxdata="UEsDBAoAAAAAAIdO4kAAAAAAAAAAAAAAAAAEAAAAZHJzL1BLAwQUAAAACACHTuJA7c+zt9gAAAAJ&#10;AQAADwAAAGRycy9kb3ducmV2LnhtbE2PMU/DMBCFdyT+g3WV2KgTA22TxqkAiYGhQwvsl9hNosbn&#10;ELtp4ddzTLC90717971ic3G9mOwYOk8a0nkCwlLtTUeNhve3l9sViBCRDPaerIYvG2BTXl8VmBt/&#10;pp2d9rERHEIhRw1tjEMuZahb6zDM/WCJdwc/Oow8jo00I5453PVSJclCOuyIP7Q42OfW1sf9yTHG&#10;9FHdZfHRh7A9qKfXb9xWx0+tb2ZpsgYR7SX+meEXn2+gZKbKn8gE0Wt4WKwUWzWoZQaCDUuVsahY&#10;pPcgy0L+b1D+AFBLAwQUAAAACACHTuJARg7Ek7YBAABaAwAADgAAAGRycy9lMm9Eb2MueG1srVNL&#10;btswEN0X6B0I7mMpAmK3guUAgZFuirZAkgPQFGURIDkEh7bkC7Q36Kqb7HMun6NDynGCdJNFN9Rw&#10;Pm/mvaGW16M1bK8CanANv5yVnCknodVu2/CH+9uLT5xhFK4VBpxq+EEhv159/LAcfK0q6MG0KjAC&#10;cVgPvuF9jL4uCpS9sgJn4JWjYAfBikjXsC3aIAZCt6aoynJeDBBaH0AqRPKupyA/IYb3AELXaanW&#10;IHdWuTihBmVEJErYa498laftOiXj965DFZlpODGN+aQmZG/SWayWot4G4XstTyOI94zwhpMV2lHT&#10;M9RaRMF2Qf8DZbUMgNDFmQRbTESyIsTisnyjzV0vvMpcSGr0Z9Hx/8HKb/sfgem24fOKMycsbfz4&#10;+9fxz9Px8ScjHwk0eKwp785TZhxvYKRn8+xHcibeYxds+hIjRnGS93CWV42RyVRUVvPF5yvOJMWq&#10;xbyqrhJM8VLtA8YvCixLRsMDrS+rKvZfMU6pzympmYNbbUxeoXFsoA7VoixzxTlE6MZRk0RiGjZZ&#10;cdyMJ2YbaA9EbOeD3vbUNFPL6SR5nu70PNJOX98z6Msvsfo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7c+zt9gAAAAJAQAADwAAAAAAAAABACAAAAAiAAAAZHJzL2Rvd25yZXYueG1sUEsBAhQAFAAA&#10;AAgAh07iQEYOxJO2AQAAWgMAAA4AAAAAAAAAAQAgAAAAJwEAAGRycy9lMm9Eb2MueG1sUEsFBgAA&#10;AAAGAAYAWQEAAE8FAAAAAA==&#10;">
                      <v:fill on="f" focussize="0,0"/>
                      <v:stroke on="f" weight="1pt"/>
                      <v:imagedata o:title=""/>
                      <o:lock v:ext="edit" aspectratio="f"/>
                      <v:textbox>
                        <w:txbxContent>
                          <w:p>
                            <w:pPr>
                              <w:ind w:firstLine="0" w:firstLineChars="0"/>
                              <w:rPr>
                                <w:sz w:val="21"/>
                                <w:szCs w:val="21"/>
                              </w:rPr>
                            </w:pPr>
                            <w:r>
                              <w:rPr>
                                <w:rFonts w:hint="eastAsia"/>
                                <w:sz w:val="21"/>
                                <w:szCs w:val="21"/>
                              </w:rPr>
                              <w:t>废弃防渗膜</w:t>
                            </w:r>
                          </w:p>
                        </w:txbxContent>
                      </v:textbox>
                    </v:shape>
                  </w:pict>
                </mc:Fallback>
              </mc:AlternateContent>
            </w:r>
            <w:r>
              <w:rPr>
                <w:sz w:val="21"/>
              </w:rPr>
              <mc:AlternateContent>
                <mc:Choice Requires="wps">
                  <w:drawing>
                    <wp:anchor distT="0" distB="0" distL="114300" distR="114300" simplePos="0" relativeHeight="251715584" behindDoc="0" locked="0" layoutInCell="1" allowOverlap="1">
                      <wp:simplePos x="0" y="0"/>
                      <wp:positionH relativeFrom="column">
                        <wp:posOffset>1379220</wp:posOffset>
                      </wp:positionH>
                      <wp:positionV relativeFrom="paragraph">
                        <wp:posOffset>100330</wp:posOffset>
                      </wp:positionV>
                      <wp:extent cx="265430" cy="635"/>
                      <wp:effectExtent l="0" t="38100" r="1270" b="37465"/>
                      <wp:wrapNone/>
                      <wp:docPr id="74" name="直接连接符 74"/>
                      <wp:cNvGraphicFramePr/>
                      <a:graphic xmlns:a="http://schemas.openxmlformats.org/drawingml/2006/main">
                        <a:graphicData uri="http://schemas.microsoft.com/office/word/2010/wordprocessingShape">
                          <wps:wsp>
                            <wps:cNvCnPr/>
                            <wps:spPr>
                              <a:xfrm>
                                <a:off x="0" y="0"/>
                                <a:ext cx="265430" cy="635"/>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08.6pt;margin-top:7.9pt;height:0.05pt;width:20.9pt;z-index:251715584;mso-width-relative:page;mso-height-relative:page;" filled="f" stroked="t" coordsize="21600,21600" o:gfxdata="UEsDBAoAAAAAAIdO4kAAAAAAAAAAAAAAAAAEAAAAZHJzL1BLAwQUAAAACACHTuJAyuXArNcAAAAJ&#10;AQAADwAAAGRycy9kb3ducmV2LnhtbE2PS2vDMBCE74X8B7GB3hrZhjS2azmUQKGkh9DUvcvW+kGt&#10;lbGU17/v5tQed+ZjdqbYXu0ozjj7wZGCeBWBQGqcGahTUH29PaUgfNBk9OgIFdzQw7ZcPBQ6N+5C&#10;n3g+hk5wCPlcK+hDmHIpfdOj1X7lJiT2WjdbHficO2lmfeFwO8okip6l1QPxh15PuOux+TmerIJ9&#10;fcje0w/3Grn2sE9vm+p711ZKPS7j6AVEwGv4g+Fen6tDyZ1qdyLjxaggiTcJo2yseQIDyTrjcfVd&#10;yECWhfy/oPwFUEsDBBQAAAAIAIdO4kDLweer9gEAAN8DAAAOAAAAZHJzL2Uyb0RvYy54bWytU81u&#10;EzEQviPxDpbvZNO0TdEqmx4aygVBJeABJrZ315L/5HGzyUvwAkjc4MSRO2/T8hiMvSGBwqEH9uAd&#10;2998nu/zeHG5tYZtVETtXcNPJlPOlBNeatc1/P2762fPOcMEToLxTjV8p5BfLp8+WQyhVjPfeyNV&#10;ZETisB5Cw/uUQl1VKHplASc+KEebrY8WEk1jV8kIA7FbU82m03k1+ChD9EIh0upq3OR7xvgYQt+2&#10;WqiVF7dWuTSyRmUgkSTsdUC+LNW2rRLpTduiSsw0nJSmMtIhFK/zWC0XUHcRQq/FvgR4TAkPNFnQ&#10;jg49UK0gAbuN+i8qq0X06Ns0Ed5Wo5DiCKk4mT7w5m0PQRUtZDWGg+n4/2jF681NZFo2/OKMMweW&#10;bvz+47e7D59/fP9E4/3XL4x2yKYhYE3oK3cT9zMMNzFr3rbR5j+pYdti7e5grdomJmhxNj8/OyXT&#10;BW3NT88zYXXMDBHTS+Uty0HDjXZZNtSweYVphP6C5GXj2ECtO7uYZkagJmzp8im0gYSg60oyeqPl&#10;tTYmp2Ds1lcmsg3kRijfvoY/YPmUFWA/4iRFGQV1r0C+cJKlXSCDUtTgOqN4LsMqyZlR9JZyVNAJ&#10;tDmiHT2jfyPJAePIiGztaGaO1l7uisdlne69WLXv0dxYv89L9vFdLn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uXArNcAAAAJAQAADwAAAAAAAAABACAAAAAiAAAAZHJzL2Rvd25yZXYueG1sUEsB&#10;AhQAFAAAAAgAh07iQMvB56v2AQAA3wMAAA4AAAAAAAAAAQAgAAAAJgEAAGRycy9lMm9Eb2MueG1s&#10;UEsFBgAAAAAGAAYAWQEAAI4FAAAAAA==&#10;">
                      <v:fill on="f" focussize="0,0"/>
                      <v:stroke weight="1pt" color="#000000" joinstyle="round" dashstyle="dash" startarrow="block"/>
                      <v:imagedata o:title=""/>
                      <o:lock v:ext="edit" aspectratio="f"/>
                    </v:line>
                  </w:pict>
                </mc:Fallback>
              </mc:AlternateContent>
            </w:r>
            <w:r>
              <w:rPr>
                <w:sz w:val="21"/>
              </w:rPr>
              <mc:AlternateContent>
                <mc:Choice Requires="wps">
                  <w:drawing>
                    <wp:anchor distT="0" distB="0" distL="114300" distR="114300" simplePos="0" relativeHeight="251700224" behindDoc="0" locked="0" layoutInCell="1" allowOverlap="1">
                      <wp:simplePos x="0" y="0"/>
                      <wp:positionH relativeFrom="column">
                        <wp:posOffset>3584575</wp:posOffset>
                      </wp:positionH>
                      <wp:positionV relativeFrom="paragraph">
                        <wp:posOffset>116205</wp:posOffset>
                      </wp:positionV>
                      <wp:extent cx="1026795" cy="276225"/>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026795" cy="276225"/>
                              </a:xfrm>
                              <a:prstGeom prst="rect">
                                <a:avLst/>
                              </a:prstGeom>
                              <a:noFill/>
                              <a:ln w="12700">
                                <a:noFill/>
                              </a:ln>
                            </wps:spPr>
                            <wps:txbx>
                              <w:txbxContent>
                                <w:p>
                                  <w:pPr>
                                    <w:ind w:firstLine="420"/>
                                    <w:rPr>
                                      <w:sz w:val="21"/>
                                      <w:szCs w:val="21"/>
                                    </w:rPr>
                                  </w:pPr>
                                </w:p>
                              </w:txbxContent>
                            </wps:txbx>
                            <wps:bodyPr upright="1"/>
                          </wps:wsp>
                        </a:graphicData>
                      </a:graphic>
                    </wp:anchor>
                  </w:drawing>
                </mc:Choice>
                <mc:Fallback>
                  <w:pict>
                    <v:shape id="_x0000_s1026" o:spid="_x0000_s1026" o:spt="202" type="#_x0000_t202" style="position:absolute;left:0pt;margin-left:282.25pt;margin-top:9.15pt;height:21.75pt;width:80.85pt;z-index:251700224;mso-width-relative:page;mso-height-relative:page;" filled="f" stroked="f" coordsize="21600,21600" o:gfxdata="UEsDBAoAAAAAAIdO4kAAAAAAAAAAAAAAAAAEAAAAZHJzL1BLAwQUAAAACACHTuJAHzWpvdcAAAAJ&#10;AQAADwAAAGRycy9kb3ducmV2LnhtbE2PwU6DQBCG7ya+w2ZMvNkFahGRpVETDx56aNX7AFMgZWeR&#10;3dLq0zue9Dj5v/nnm2J9toOaafK9YwPxIgJFXLum59bA+9vLTQbKB+QGB8dk4Is8rMvLiwLzxp14&#10;S/MutEpK2OdooAthzLX2dUcW/cKNxJLt3WQxyDi1upnwJOV20EkUpdpiz3Khw5GeO6oPu6MVjfmj&#10;Wt6HR+f9Zp88vX7jpjp8GnN9FUcPoAKdwx8Mv/qyA6U4Ve7IjVeDgVV6uxJUgmwJSoC7JE1AVQbS&#10;OANdFvr/B+UPUEsDBBQAAAAIAIdO4kArLrUatgEAAFoDAAAOAAAAZHJzL2Uyb0RvYy54bWytU0tu&#10;2zAQ3RfIHQjuaykCbLeC5QCFkWyKtkDaA9AUZREgOQSHtuQLJDfoqpvuey6fo0PKcYJ0k0U31HA+&#10;b+a9oVY3ozXsoAJqcA2/npWcKSeh1W7X8B/fb99/4AyjcK0w4FTDjwr5zfrq3WrwtaqgB9OqwAjE&#10;YT34hvcx+rooUPbKCpyBV46CHQQrIl3DrmiDGAjdmqIqy0UxQGh9AKkQybuZgvyMGN4CCF2npdqA&#10;3Fvl4oQalBGRKGGvPfJ1nrbrlIxfuw5VZKbhxDTmk5qQvU1nsV6JeheE77U8jyDeMsIrTlZoR00v&#10;UBsRBdsH/Q+U1TIAQhdnEmwxEcmKEIvr8pU2973wKnMhqdFfRMf/Byu/HL4FptuGz2nvTlja+Onn&#10;4+nXn9PvB0Y+EmjwWFPevafMOH6CkZ7Nkx/JmXiPXbDpS4wYxUne40VeNUYmU1FZLZYf55xJilXL&#10;RVXNE0zxXO0DxjsFliWj4YHWl1UVh88Yp9SnlNTMwa02Jq/QODZQh2pZlrniEiJ046hJIjENm6w4&#10;bsczsy20RyK290HvemqaqeV0kjxPd34eaacv7xn0+ZdY/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fNam91wAAAAkBAAAPAAAAAAAAAAEAIAAAACIAAABkcnMvZG93bnJldi54bWxQSwECFAAUAAAA&#10;CACHTuJAKy61GrYBAABaAwAADgAAAAAAAAABACAAAAAmAQAAZHJzL2Uyb0RvYy54bWxQSwUGAAAA&#10;AAYABgBZAQAATgUAAAAA&#10;">
                      <v:fill on="f" focussize="0,0"/>
                      <v:stroke on="f" weight="1pt"/>
                      <v:imagedata o:title=""/>
                      <o:lock v:ext="edit" aspectratio="f"/>
                      <v:textbox>
                        <w:txbxContent>
                          <w:p>
                            <w:pPr>
                              <w:ind w:firstLine="420"/>
                              <w:rPr>
                                <w:sz w:val="21"/>
                                <w:szCs w:val="21"/>
                              </w:rPr>
                            </w:pPr>
                          </w:p>
                        </w:txbxContent>
                      </v:textbox>
                    </v:shape>
                  </w:pict>
                </mc:Fallback>
              </mc:AlternateContent>
            </w:r>
            <w:r>
              <w:rPr>
                <w:sz w:val="21"/>
              </w:rPr>
              <mc:AlternateContent>
                <mc:Choice Requires="wps">
                  <w:drawing>
                    <wp:anchor distT="0" distB="0" distL="114300" distR="114300" simplePos="0" relativeHeight="251695104" behindDoc="0" locked="0" layoutInCell="1" allowOverlap="1">
                      <wp:simplePos x="0" y="0"/>
                      <wp:positionH relativeFrom="column">
                        <wp:posOffset>2872740</wp:posOffset>
                      </wp:positionH>
                      <wp:positionV relativeFrom="paragraph">
                        <wp:posOffset>78105</wp:posOffset>
                      </wp:positionV>
                      <wp:extent cx="449580" cy="635"/>
                      <wp:effectExtent l="0" t="37465" r="7620" b="38100"/>
                      <wp:wrapNone/>
                      <wp:docPr id="52" name="直接连接符 52"/>
                      <wp:cNvGraphicFramePr/>
                      <a:graphic xmlns:a="http://schemas.openxmlformats.org/drawingml/2006/main">
                        <a:graphicData uri="http://schemas.microsoft.com/office/word/2010/wordprocessingShape">
                          <wps:wsp>
                            <wps:cNvCnPr/>
                            <wps:spPr>
                              <a:xfrm>
                                <a:off x="0" y="0"/>
                                <a:ext cx="449580" cy="635"/>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26.2pt;margin-top:6.15pt;height:0.05pt;width:35.4pt;z-index:251695104;mso-width-relative:page;mso-height-relative:page;" filled="f" stroked="t" coordsize="21600,21600" o:gfxdata="UEsDBAoAAAAAAIdO4kAAAAAAAAAAAAAAAAAEAAAAZHJzL1BLAwQUAAAACACHTuJAlUucddkAAAAJ&#10;AQAADwAAAGRycy9kb3ducmV2LnhtbE2PTUvEMBCG74L/IYzgRdx0s61IbbrIwiILgrh68ZYms22x&#10;mdQm+6G/3tmTHmfeh3eeqZYnP4gDTrEPpGE+y0Ag2eB6ajW8v61v70HEZMiZIRBq+MYIy/ryojKl&#10;C0d6xcM2tYJLKJZGQ5fSWEoZbYfexFkYkTjbhcmbxOPUSjeZI5f7Qaosu5Pe9MQXOjPiqkP7ud17&#10;DY/PtvEvI9rsafOx3q2+ipsf2mh9fTXPHkAkPKU/GM76rA41OzVhTy6KQUNeqJxRDtQCBAOFWigQ&#10;zXmRg6wr+f+D+hdQSwMEFAAAAAgAh07iQE1+lkf1AQAA3wMAAA4AAABkcnMvZTJvRG9jLnhtbK1T&#10;zW4TMRC+I/EOlu9k09CUssqmh4ZyQVAJeICJ7d215D953GzyErwAEjc4ceTet6E8BmNvSKAIqQf2&#10;4B3b33ye7/N4cbG1hm1URO1dw08mU86UE15q1zX8/burJ+ecYQInwXinGr5TyC+Wjx8thlCrme+9&#10;kSoyInFYD6HhfUqhrioUvbKAEx+Uo83WRwuJprGrZISB2K2pZtPpWTX4KEP0QiHS6mrc5HvG+BBC&#10;37ZaqJUXN1a5NLJGZSCRJOx1QL4s1batEulN26JKzDSclKYy0iEUr/NYLRdQdxFCr8W+BHhICfc0&#10;WdCODj1QrSABu4n6LyqrRfTo2zQR3lajkOIIqTiZ3vPmbQ9BFS1kNYaD6fj/aMXrzXVkWjZ8PuPM&#10;gaUbv/v47fuHzz9uP9F49/ULox2yaQhYE/rSXcf9DMN1zJq3bbT5T2rYtli7O1irtokJWjw9fT4/&#10;J9MFbZ09nWfC6pgZIqaXyluWg4Yb7bJsqGHzCtMI/QXJy8axgVp39myaGYGasKXLp9AGEoKuK8no&#10;jZZX2picgrFbX5rINpAboXz7Gv6A5VNWgP2IkxRlFNS9AvnCSZZ2gQxy9DB4LsEqyZlR9I5yVJAJ&#10;tDkiU9TgOvMPNDlgHBmRrR3NzNHay13xuKzTvRer9j2aG+v3eck+vsvl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VLnHXZAAAACQEAAA8AAAAAAAAAAQAgAAAAIgAAAGRycy9kb3ducmV2LnhtbFBL&#10;AQIUABQAAAAIAIdO4kBNfpZH9QEAAN8DAAAOAAAAAAAAAAEAIAAAACgBAABkcnMvZTJvRG9jLnht&#10;bFBLBQYAAAAABgAGAFkBAACP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1636395</wp:posOffset>
                      </wp:positionH>
                      <wp:positionV relativeFrom="paragraph">
                        <wp:posOffset>97155</wp:posOffset>
                      </wp:positionV>
                      <wp:extent cx="449580" cy="635"/>
                      <wp:effectExtent l="0" t="38100" r="0" b="37465"/>
                      <wp:wrapNone/>
                      <wp:docPr id="59" name="直接连接符 59"/>
                      <wp:cNvGraphicFramePr/>
                      <a:graphic xmlns:a="http://schemas.openxmlformats.org/drawingml/2006/main">
                        <a:graphicData uri="http://schemas.microsoft.com/office/word/2010/wordprocessingShape">
                          <wps:wsp>
                            <wps:cNvCnPr/>
                            <wps:spPr>
                              <a:xfrm>
                                <a:off x="0" y="0"/>
                                <a:ext cx="449580" cy="635"/>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28.85pt;margin-top:7.65pt;height:0.05pt;width:35.4pt;z-index:251692032;mso-width-relative:page;mso-height-relative:page;" filled="f" stroked="t" coordsize="21600,21600" o:gfxdata="UEsDBAoAAAAAAIdO4kAAAAAAAAAAAAAAAAAEAAAAZHJzL1BLAwQUAAAACACHTuJAbmkK6dgAAAAJ&#10;AQAADwAAAGRycy9kb3ducmV2LnhtbE2Py07DMBBF90j8gzVI7KjTlJAQ4lSoEhIqi4oS9k48eYh4&#10;HMXu6++ZrmA5c4/unCnWZzuKI85+cKRguYhAIDXODNQpqL7eHjIQPmgyenSECi7oYV3e3hQ6N+5E&#10;n3jch05wCflcK+hDmHIpfdOj1X7hJiTOWjdbHXicO2lmfeJyO8o4ip6k1QPxhV5PuOmx+dkfrIJt&#10;vXt+zz7ca+Ta3Ta7pNX3pq2Uur9bRi8gAp7DHwxXfVaHkp1qdyDjxaggTtKUUQ6SFQgGVnGWgKiv&#10;i0eQZSH/f1D+AlBLAwQUAAAACACHTuJAFXfaFfYBAADfAwAADgAAAGRycy9lMm9Eb2MueG1srVPN&#10;bhMxEL4j8Q6W72TT0JR2lU0PDeWCoBLwABPbu2vJf/K42eQleAEkbnDiyJ23oTwGY29IoHDogT14&#10;x/Y3n+f7PF5cbq1hGxVRe9fwk8mUM+WEl9p1DX/39vrJOWeYwEkw3qmG7xTyy+XjR4sh1Grme2+k&#10;ioxIHNZDaHifUqirCkWvLODEB+Vos/XRQqJp7CoZYSB2a6rZdHpWDT7KEL1QiLS6Gjf5njE+hNC3&#10;rRZq5cWtVS6NrFEZSCQJex2QL0u1batEet22qBIzDSelqYx0CMXrPFbLBdRdhNBrsS8BHlLCPU0W&#10;tKNDD1QrSMBuo/6LymoRPfo2TYS31SikOEIqTqb3vHnTQ1BFC1mN4WA6/j9a8WpzE5mWDZ9fcObA&#10;0o3fffj6/f2nH98+0nj35TOjHbJpCFgT+srdxP0Mw03MmrdttPlPati2WLs7WKu2iQlaPD29mJ+T&#10;6YK2zp7OM2F1zAwR0wvlLctBw412WTbUsHmJaYT+guRl49hArTt7Ns2MQE3Y0uVTaAMJQdeVZPRG&#10;y2ttTE7B2K2vTGQbyI1Qvn0Nf8DyKSvAfsRJijIK6l6BfO4kS7tABqWowXVG8VyGVZIzo+gt5aig&#10;E2hzRDt6Rv9GkgPGkRHZ2tHMHK293BWPyzrde7Fq36O5sX6fl+zju1z+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5pCunYAAAACQEAAA8AAAAAAAAAAQAgAAAAIgAAAGRycy9kb3ducmV2LnhtbFBL&#10;AQIUABQAAAAIAIdO4kAVd9oV9gEAAN8DAAAOAAAAAAAAAAEAIAAAACcBAABkcnMvZTJvRG9jLnht&#10;bFBLBQYAAAAABgAGAFkBAACPBQAAAAA=&#10;">
                      <v:fill on="f" focussize="0,0"/>
                      <v:stroke weight="1pt" color="#000000" joinstyle="round" dashstyle="dash" startarrow="block"/>
                      <v:imagedata o:title=""/>
                      <o:lock v:ext="edit" aspectratio="f"/>
                    </v:line>
                  </w:pict>
                </mc:Fallback>
              </mc:AlternateContent>
            </w:r>
          </w:p>
          <w:p>
            <w:pPr>
              <w:ind w:firstLine="420"/>
              <w:jc w:val="left"/>
              <w:rPr>
                <w:b/>
                <w:sz w:val="21"/>
                <w:szCs w:val="21"/>
              </w:rPr>
            </w:pPr>
            <w:r>
              <w:rPr>
                <w:sz w:val="21"/>
              </w:rPr>
              <mc:AlternateContent>
                <mc:Choice Requires="wps">
                  <w:drawing>
                    <wp:anchor distT="0" distB="0" distL="114300" distR="114300" simplePos="0" relativeHeight="251698176" behindDoc="0" locked="0" layoutInCell="1" allowOverlap="1">
                      <wp:simplePos x="0" y="0"/>
                      <wp:positionH relativeFrom="column">
                        <wp:posOffset>3350895</wp:posOffset>
                      </wp:positionH>
                      <wp:positionV relativeFrom="paragraph">
                        <wp:posOffset>94615</wp:posOffset>
                      </wp:positionV>
                      <wp:extent cx="236855" cy="0"/>
                      <wp:effectExtent l="0" t="38100" r="10795" b="38100"/>
                      <wp:wrapNone/>
                      <wp:docPr id="53" name="直接连接符 53"/>
                      <wp:cNvGraphicFramePr/>
                      <a:graphic xmlns:a="http://schemas.openxmlformats.org/drawingml/2006/main">
                        <a:graphicData uri="http://schemas.microsoft.com/office/word/2010/wordprocessingShape">
                          <wps:wsp>
                            <wps:cNvCnPr/>
                            <wps:spPr>
                              <a:xfrm>
                                <a:off x="0" y="0"/>
                                <a:ext cx="236855" cy="0"/>
                              </a:xfrm>
                              <a:prstGeom prst="line">
                                <a:avLst/>
                              </a:prstGeom>
                              <a:ln w="12700"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263.85pt;margin-top:7.45pt;height:0pt;width:18.65pt;z-index:251698176;mso-width-relative:page;mso-height-relative:page;" filled="f" stroked="t" coordsize="21600,21600" o:gfxdata="UEsDBAoAAAAAAIdO4kAAAAAAAAAAAAAAAAAEAAAAZHJzL1BLAwQUAAAACACHTuJAI3j9j9kAAAAJ&#10;AQAADwAAAGRycy9kb3ducmV2LnhtbE2PT0sDMRDF74LfIYzgRdqkxW113WyRQpGCUKy9eMsm093F&#10;zWTdpH/00zviQY/z3o837xWLs+/EEYfYBtIwGSsQSDa4lmoNu9fV6A5ETIac6QKhhk+MsCgvLwqT&#10;u3CiFzxuUy04hGJuNDQp9bmU0TboTRyHHom9fRi8SXwOtXSDOXG47+RUqZn0piX+0Jgelw3a9+3B&#10;a3h8tpXf9GjV0/pttV9+ZDdftNb6+mqiHkAkPKc/GH7qc3UouVMVDuSi6DRk0/mcUTZu70EwkM0y&#10;Hlf9CrIs5P8F5TdQSwMEFAAAAAgAh07iQH4nQmv1AQAA3QMAAA4AAABkcnMvZTJvRG9jLnhtbK1T&#10;zW4TMRC+I/EOlu9k01Qp1SqbHhrKBUEk4AEmtnfXkv/kcbPJS/ACSNzgxJE7b0N5DMbeNIEipB7Y&#10;g3c8nvlmvs/jxdXOGrZVEbV3DT+bTDlTTnipXdfw9+9unl1yhgmcBOOdavheIb9aPn2yGEKtZr73&#10;RqrICMRhPYSG9ymFuqpQ9MoCTnxQjg5bHy0k2saukhEGQremmk2nF9XgowzRC4VI3tV4yA+I8TGA&#10;vm21UCsvbq1yaUSNykAiStjrgHxZum1bJdKbtkWVmGk4MU1lpSJkb/JaLRdQdxFCr8WhBXhMCw84&#10;WdCOih6hVpCA3Ub9F5TVInr0bZoIb6uRSFGEWJxNH2jztoegCheSGsNRdPx/sOL1dh2Zlg2fn3Pm&#10;wNKN33389uPD55/fP9F69/ULoxOSaQhYU/S1W8fDDsM6Zs67Ntr8JzZsV6TdH6VVu8QEOWfnF5fz&#10;OWfi/qg65YWI6aXylmWj4Ua7TBpq2L7CRLUo9D4ku41jAw3u7PmULlEAjWBLV0+mDUQDXVeS0Rst&#10;b7QxOQVjt7k2kW0hj0H5MiUC/iMsV1kB9mOcJGucj16BfOEkS/tA8jh6Fjy3YJXkzCh6RdkiPKgT&#10;aHOKTFGD68w/oqm6cdREFnaUMlsbL/dF4eKnWy9tHiY0j9Xv+5J9epX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N4/Y/ZAAAACQEAAA8AAAAAAAAAAQAgAAAAIgAAAGRycy9kb3ducmV2LnhtbFBL&#10;AQIUABQAAAAIAIdO4kB+J0Jr9QEAAN0DAAAOAAAAAAAAAAEAIAAAACgBAABkcnMvZTJvRG9jLnht&#10;bFBLBQYAAAAABgAGAFkBAACPBQAAAAA=&#10;">
                      <v:fill on="f" focussize="0,0"/>
                      <v:stroke weight="1pt" color="#000000" joinstyle="round" dashstyle="dash" endarrow="block"/>
                      <v:imagedata o:title=""/>
                      <o:lock v:ext="edit" aspectratio="f"/>
                    </v:line>
                  </w:pict>
                </mc:Fallback>
              </mc:AlternateContent>
            </w:r>
            <w:r>
              <w:rPr>
                <w:sz w:val="21"/>
              </w:rPr>
              <mc:AlternateContent>
                <mc:Choice Requires="wps">
                  <w:drawing>
                    <wp:anchor distT="0" distB="0" distL="114300" distR="114300" simplePos="0" relativeHeight="251716608" behindDoc="0" locked="0" layoutInCell="1" allowOverlap="1">
                      <wp:simplePos x="0" y="0"/>
                      <wp:positionH relativeFrom="column">
                        <wp:posOffset>1368425</wp:posOffset>
                      </wp:positionH>
                      <wp:positionV relativeFrom="paragraph">
                        <wp:posOffset>149225</wp:posOffset>
                      </wp:positionV>
                      <wp:extent cx="271145" cy="635"/>
                      <wp:effectExtent l="0" t="38100" r="14605" b="37465"/>
                      <wp:wrapNone/>
                      <wp:docPr id="56" name="直接连接符 56"/>
                      <wp:cNvGraphicFramePr/>
                      <a:graphic xmlns:a="http://schemas.openxmlformats.org/drawingml/2006/main">
                        <a:graphicData uri="http://schemas.microsoft.com/office/word/2010/wordprocessingShape">
                          <wps:wsp>
                            <wps:cNvCnPr/>
                            <wps:spPr>
                              <a:xfrm>
                                <a:off x="0" y="0"/>
                                <a:ext cx="271145" cy="635"/>
                              </a:xfrm>
                              <a:prstGeom prst="line">
                                <a:avLst/>
                              </a:prstGeom>
                              <a:ln w="12700" cap="flat" cmpd="sng">
                                <a:solidFill>
                                  <a:srgbClr val="000000"/>
                                </a:solidFill>
                                <a:prstDash val="dash"/>
                                <a:headEnd type="triangle" w="med" len="med"/>
                                <a:tailEnd type="none" w="med" len="med"/>
                              </a:ln>
                            </wps:spPr>
                            <wps:bodyPr/>
                          </wps:wsp>
                        </a:graphicData>
                      </a:graphic>
                    </wp:anchor>
                  </w:drawing>
                </mc:Choice>
                <mc:Fallback>
                  <w:pict>
                    <v:line id="_x0000_s1026" o:spid="_x0000_s1026" o:spt="20" style="position:absolute;left:0pt;margin-left:107.75pt;margin-top:11.75pt;height:0.05pt;width:21.35pt;z-index:251716608;mso-width-relative:page;mso-height-relative:page;" filled="f" stroked="t" coordsize="21600,21600" o:gfxdata="UEsDBAoAAAAAAIdO4kAAAAAAAAAAAAAAAAAEAAAAZHJzL1BLAwQUAAAACACHTuJA0RvgotcAAAAJ&#10;AQAADwAAAGRycy9kb3ducmV2LnhtbE2Py07DMBBF90j8gzVI7KiToJQ0jVOhSkioLCpK2Dvx5CHi&#10;cRS7r79nuoLVvK7uPVNsLnYUJ5z94EhBvIhAIDXODNQpqL7enjIQPmgyenSECq7oYVPe3xU6N+5M&#10;n3g6hE6wCflcK+hDmHIpfdOj1X7hJiS+tW62OvA4d9LM+szmdpRJFC2l1QNxQq8n3PbY/ByOVsGu&#10;3q/esw/3Grl2v8uuL9X3tq2UenyIozWIgJfwJ4YbPqNDyUy1O5LxYlSQxGnKUm6eubIgSbMERH1b&#10;LEGWhfz/QfkLUEsDBBQAAAAIAIdO4kDA/VaU9gEAAN8DAAAOAAAAZHJzL2Uyb0RvYy54bWytU0uO&#10;EzEQ3SNxB8t70kkgGdRKZxYThg2CSMABKrY7bck/uTzp5BJcAIkdrFiy5zYzHIOyOyQwsJgFvXCX&#10;7VfP9Z7Li8u9NWynImrvGj4ZjTlTTnip3bbh799dP3nOGSZwEox3quEHhfxy+fjRog+1mvrOG6ki&#10;IxKHdR8a3qUU6qpC0SkLOPJBOdpsfbSQaBq3lYzQE7s11XQ8nle9jzJELxQira6GTX5kjA8h9G2r&#10;hVp5cWOVSwNrVAYSScJOB+TLUm3bKpHetC2qxEzDSWkqIx1C8SaP1XIB9TZC6LQ4lgAPKeGeJgva&#10;0aEnqhUkYDdR/0VltYgefZtGwttqEFIcIRWT8T1v3nYQVNFCVmM4mY7/j1a83q0j07LhszlnDizd&#10;+N3Hb7cfPv/4/onGu69fGO2QTX3AmtBXbh2PMwzrmDXv22jzn9SwfbH2cLJW7RMTtDi9mEyezTgT&#10;tDV/OsuE1TkzREwvlbcsBw032mXZUMPuFaYB+guSl41jPbXu9GJM1yiAmrCly6fQBhKCbluS0Rst&#10;r7UxOQXjdnNlIttBboTyHWv4A5ZPWQF2A05SlFFQdwrkCydZOgQyKEUNbmsUz2VYJTkzit5Sjgo6&#10;gTZntKNn9G8kOWAcGZGtHczM0cbLQ/G4rNO9F6uOPZob6/d5yT6/y+V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0RvgotcAAAAJAQAADwAAAAAAAAABACAAAAAiAAAAZHJzL2Rvd25yZXYueG1sUEsB&#10;AhQAFAAAAAgAh07iQMD9VpT2AQAA3wMAAA4AAAAAAAAAAQAgAAAAJgEAAGRycy9lMm9Eb2MueG1s&#10;UEsFBgAAAAAGAAYAWQEAAI4FAAAAAA==&#10;">
                      <v:fill on="f" focussize="0,0"/>
                      <v:stroke weight="1pt" color="#000000" joinstyle="round" dashstyle="dash" startarrow="block"/>
                      <v:imagedata o:title=""/>
                      <o:lock v:ext="edit" aspectratio="f"/>
                    </v:lin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495935</wp:posOffset>
                      </wp:positionH>
                      <wp:positionV relativeFrom="paragraph">
                        <wp:posOffset>12700</wp:posOffset>
                      </wp:positionV>
                      <wp:extent cx="769620" cy="276225"/>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769620" cy="276225"/>
                              </a:xfrm>
                              <a:prstGeom prst="rect">
                                <a:avLst/>
                              </a:prstGeom>
                              <a:noFill/>
                              <a:ln w="12700">
                                <a:noFill/>
                              </a:ln>
                            </wps:spPr>
                            <wps:txbx>
                              <w:txbxContent>
                                <w:p>
                                  <w:pPr>
                                    <w:pStyle w:val="20"/>
                                    <w:rPr>
                                      <w:szCs w:val="21"/>
                                    </w:rPr>
                                  </w:pPr>
                                  <w:r>
                                    <w:rPr>
                                      <w:rFonts w:hint="eastAsia"/>
                                      <w:szCs w:val="21"/>
                                    </w:rPr>
                                    <w:t>噪声</w:t>
                                  </w:r>
                                </w:p>
                              </w:txbxContent>
                            </wps:txbx>
                            <wps:bodyPr upright="1"/>
                          </wps:wsp>
                        </a:graphicData>
                      </a:graphic>
                    </wp:anchor>
                  </w:drawing>
                </mc:Choice>
                <mc:Fallback>
                  <w:pict>
                    <v:shape id="_x0000_s1026" o:spid="_x0000_s1026" o:spt="202" type="#_x0000_t202" style="position:absolute;left:0pt;margin-left:39.05pt;margin-top:1pt;height:21.75pt;width:60.6pt;z-index:251691008;mso-width-relative:page;mso-height-relative:page;" filled="f" stroked="f" coordsize="21600,21600" o:gfxdata="UEsDBAoAAAAAAIdO4kAAAAAAAAAAAAAAAAAEAAAAZHJzL1BLAwQUAAAACACHTuJAm3y/qNYAAAAH&#10;AQAADwAAAGRycy9kb3ducmV2LnhtbE2PQU+DQBCF7yb+h82YeLML1GqhLI2aePDQg9XeB5gCKTuL&#10;7JZWf73Tkx5f3pv3vsnXZ9uriUbfOTYQzyJQxJWrO24MfH683i1B+YBcY++YDHyTh3VxfZVjVrsT&#10;v9O0DY2SEvYZGmhDGDKtfdWSRT9zA7F4ezdaDCLHRtcjnqTc9jqJogdtsWNZaHGgl5aqw/ZoBWPa&#10;lfM0PDnvN/vk+e0HN+Xhy5jbmzhagQp0Dn9huODLDRTCVLoj1171Bh6XsSQNJPLRxU7TOajSwP1i&#10;AbrI9X/+4hdQSwMEFAAAAAgAh07iQAS4Nke2AQAAWQMAAA4AAABkcnMvZTJvRG9jLnhtbK1TS27b&#10;MBDdF+gdCO5jKQJip4LlAIGRboomQNoD0BRpESA5BIe25AskN8gqm+57Lp8jI9pxgnSTRTfUcD5v&#10;5r2h5leDs2yrIhrwDT+flJwpL6E1ft3w379uzi45wyR8Kyx41fCdQn61+Ppl3odaVdCBbVVkBOKx&#10;7kPDu5RCXRQoO+UETiAoT0EN0YlE17gu2ih6Qne2qMpyWvQQ2xBBKkTyLg9BfkSMnwEErY1US5Ab&#10;p3w6oEZlRSJK2JmAfJGn1VrJdKs1qsRsw4lpyic1IXs1nsViLup1FKEz8jiC+MwIHzg5YTw1PUEt&#10;RRJsE80/UM7ICAg6TSS44kAkK0IszssP2tx3IqjMhaTGcBId/x+s/Lm9i8y0Db+44MwLRxvfPz3u&#10;n//u/zww8pFAfcCa8u4DZabhGgZ6Nq9+JOfIe9DRjV9ixChO8u5O8qohMUnO2fTbtKKIpFA1m1ZV&#10;Ri/eikPE9F2BY6PR8Ejby6KK7Q9MNAilvqaMvTzcGGvzBq1nPU1VzcoyV5xCVGI9VY4cDrOOVhpW&#10;w5HYCtod8dqEaNYdNc3McjopnlseX8e40vf3DPr2Ryx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Jt8v6jWAAAABwEAAA8AAAAAAAAAAQAgAAAAIgAAAGRycy9kb3ducmV2LnhtbFBLAQIUABQAAAAI&#10;AIdO4kAEuDZHtgEAAFkDAAAOAAAAAAAAAAEAIAAAACUBAABkcnMvZTJvRG9jLnhtbFBLBQYAAAAA&#10;BgAGAFkBAABNBQAAAAA=&#10;">
                      <v:fill on="f" focussize="0,0"/>
                      <v:stroke on="f" weight="1pt"/>
                      <v:imagedata o:title=""/>
                      <o:lock v:ext="edit" aspectratio="f"/>
                      <v:textbox>
                        <w:txbxContent>
                          <w:p>
                            <w:pPr>
                              <w:pStyle w:val="20"/>
                              <w:rPr>
                                <w:szCs w:val="21"/>
                              </w:rPr>
                            </w:pPr>
                            <w:r>
                              <w:rPr>
                                <w:rFonts w:hint="eastAsia"/>
                                <w:szCs w:val="21"/>
                              </w:rPr>
                              <w:t>噪声</w:t>
                            </w:r>
                          </w:p>
                        </w:txbxContent>
                      </v:textbox>
                    </v:shape>
                  </w:pict>
                </mc:Fallback>
              </mc:AlternateContent>
            </w:r>
          </w:p>
          <w:p>
            <w:pPr>
              <w:ind w:firstLine="420"/>
              <w:jc w:val="left"/>
              <w:rPr>
                <w:b/>
                <w:sz w:val="21"/>
                <w:szCs w:val="21"/>
              </w:rPr>
            </w:pPr>
            <w:r>
              <w:rPr>
                <w:sz w:val="21"/>
              </w:rPr>
              <mc:AlternateContent>
                <mc:Choice Requires="wps">
                  <w:drawing>
                    <wp:anchor distT="0" distB="0" distL="114300" distR="114300" simplePos="0" relativeHeight="251675648" behindDoc="0" locked="0" layoutInCell="1" allowOverlap="1">
                      <wp:simplePos x="0" y="0"/>
                      <wp:positionH relativeFrom="column">
                        <wp:posOffset>2094865</wp:posOffset>
                      </wp:positionH>
                      <wp:positionV relativeFrom="paragraph">
                        <wp:posOffset>221615</wp:posOffset>
                      </wp:positionV>
                      <wp:extent cx="769620" cy="302260"/>
                      <wp:effectExtent l="6350" t="6350" r="24130" b="15240"/>
                      <wp:wrapNone/>
                      <wp:docPr id="63" name="文本框 63"/>
                      <wp:cNvGraphicFramePr/>
                      <a:graphic xmlns:a="http://schemas.openxmlformats.org/drawingml/2006/main">
                        <a:graphicData uri="http://schemas.microsoft.com/office/word/2010/wordprocessingShape">
                          <wps:wsp>
                            <wps:cNvSpPr txBox="1"/>
                            <wps:spPr>
                              <a:xfrm>
                                <a:off x="0" y="0"/>
                                <a:ext cx="769620" cy="302260"/>
                              </a:xfrm>
                              <a:prstGeom prst="rect">
                                <a:avLst/>
                              </a:prstGeom>
                              <a:noFill/>
                              <a:ln w="12700" cap="flat" cmpd="sng">
                                <a:solidFill>
                                  <a:srgbClr val="000000"/>
                                </a:solidFill>
                                <a:prstDash val="solid"/>
                                <a:miter/>
                                <a:headEnd type="none" w="med" len="med"/>
                                <a:tailEnd type="none" w="med" len="med"/>
                              </a:ln>
                            </wps:spPr>
                            <wps:txbx>
                              <w:txbxContent>
                                <w:p>
                                  <w:pPr>
                                    <w:pStyle w:val="20"/>
                                    <w:rPr>
                                      <w:szCs w:val="21"/>
                                    </w:rPr>
                                  </w:pPr>
                                  <w:r>
                                    <w:rPr>
                                      <w:rFonts w:hint="eastAsia"/>
                                      <w:szCs w:val="21"/>
                                    </w:rPr>
                                    <w:t>钻后工程</w:t>
                                  </w:r>
                                </w:p>
                              </w:txbxContent>
                            </wps:txbx>
                            <wps:bodyPr upright="1"/>
                          </wps:wsp>
                        </a:graphicData>
                      </a:graphic>
                    </wp:anchor>
                  </w:drawing>
                </mc:Choice>
                <mc:Fallback>
                  <w:pict>
                    <v:shape id="_x0000_s1026" o:spid="_x0000_s1026" o:spt="202" type="#_x0000_t202" style="position:absolute;left:0pt;margin-left:164.95pt;margin-top:17.45pt;height:23.8pt;width:60.6pt;z-index:251675648;mso-width-relative:page;mso-height-relative:page;" filled="f" stroked="t" coordsize="21600,21600" o:gfxdata="UEsDBAoAAAAAAIdO4kAAAAAAAAAAAAAAAAAEAAAAZHJzL1BLAwQUAAAACACHTuJASZbABtYAAAAJ&#10;AQAADwAAAGRycy9kb3ducmV2LnhtbE2PwU6EMBCG7ya+QzMm3twCC4ZFysZoOBoj+gCFzlIibUnb&#10;3YW3dzzpaWYyX/75pj6uZmYX9GFyVkC6S4ChHZya7Cjg67N9KIGFKK2Ss7MoYMMAx+b2ppaVclf7&#10;gZcujoxCbKikAB3jUnEeBo1Ghp1b0NLu5LyRkUY/cuXllcLNzLMkeeRGTpYuaLngi8bhuzsbAWu2&#10;6XbvhtfnvNPb6b3s27fCC3F/lyZPwCKu8Q+GX31Sh4acene2KrBZwD47HAilJqdKQF6kKbBeQJkV&#10;wJua//+g+QFQSwMEFAAAAAgAh07iQCMCEKQGAgAADwQAAA4AAABkcnMvZTJvRG9jLnhtbK1TzY7T&#10;MBC+I/EOlu802azUhajpSlCWCwKkhQdw/ZNY8p88bpO+ALwBJy7cea4+B2On24Xl0gM5JJOZ8Tfz&#10;fTNe3U7WkL2MoL3r6NWipkQ67oV2fUe/fL578ZISSMwJZryTHT1IoLfr589WY2hl4wdvhIwEQRy0&#10;Y+jokFJoqwr4IC2DhQ/SYVD5aFnC39hXIrIR0a2pmrpeVqOPIkTPJQB6N3OQnhDjJYBeKc3lxvOd&#10;lS7NqFEalpASDDoAXZdulZI8fVQKZCKmo8g0lTcWQXub39V6xdo+sjBofmqBXdLCE06WaYdFz1Ab&#10;lhjZRf0PlNU8evAqLbi31UykKIIsruon2twPLMjCBaWGcBYd/h8s/7D/FIkWHV1eU+KYxYkfv387&#10;/vh1/PmVoA8FGgO0mHcfMDNNr/2Ea/PgB3Rm3pOKNn+REcE4yns4yyunRDg6b5avlg1GOIau66ZZ&#10;Fvmrx8MhQnonvSXZ6GjE6RVR2f49JGwEUx9Sci3n77QxZYLGkRG7am7qjM9wLRWuA5o2IDVwfcEB&#10;b7TIZ/JpiP32jYlkz/JqlCeTwhp/peWCGwbDnFdC89JYnWQsxQfJxFsnSDoEVM/hraG5GysFJUbi&#10;JctWyUxMm0sysQnjsJes/KxwttK0nRAmm1svDjiNXYi6H1CqMo+SjntSSJx2Oi/in/8F9PEer3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ZbABtYAAAAJAQAADwAAAAAAAAABACAAAAAiAAAAZHJz&#10;L2Rvd25yZXYueG1sUEsBAhQAFAAAAAgAh07iQCMCEKQGAgAADwQAAA4AAAAAAAAAAQAgAAAAJQEA&#10;AGRycy9lMm9Eb2MueG1sUEsFBgAAAAAGAAYAWQEAAJ0FAAAAAA==&#10;">
                      <v:fill on="f" focussize="0,0"/>
                      <v:stroke weight="1pt" color="#000000" joinstyle="miter"/>
                      <v:imagedata o:title=""/>
                      <o:lock v:ext="edit" aspectratio="f"/>
                      <v:textbox>
                        <w:txbxContent>
                          <w:p>
                            <w:pPr>
                              <w:pStyle w:val="20"/>
                              <w:rPr>
                                <w:szCs w:val="21"/>
                              </w:rPr>
                            </w:pPr>
                            <w:r>
                              <w:rPr>
                                <w:rFonts w:hint="eastAsia"/>
                                <w:szCs w:val="21"/>
                              </w:rPr>
                              <w:t>钻后工程</w:t>
                            </w:r>
                          </w:p>
                        </w:txbxContent>
                      </v:textbox>
                    </v:shape>
                  </w:pict>
                </mc:Fallback>
              </mc:AlternateContent>
            </w:r>
          </w:p>
          <w:p>
            <w:pPr>
              <w:ind w:firstLine="422"/>
              <w:jc w:val="left"/>
              <w:rPr>
                <w:b/>
                <w:sz w:val="21"/>
                <w:szCs w:val="21"/>
              </w:rPr>
            </w:pPr>
          </w:p>
          <w:p>
            <w:pPr>
              <w:ind w:firstLine="0" w:firstLineChars="0"/>
            </w:pPr>
          </w:p>
          <w:p>
            <w:pPr>
              <w:pStyle w:val="2"/>
              <w:spacing w:line="360" w:lineRule="auto"/>
            </w:pPr>
            <w:r>
              <w:t>图2-</w:t>
            </w:r>
            <w:r>
              <w:rPr>
                <w:rFonts w:hint="eastAsia"/>
              </w:rPr>
              <w:t>9</w:t>
            </w:r>
            <w:r>
              <w:t xml:space="preserve">  钻井工艺流程及产污节点图</w:t>
            </w:r>
          </w:p>
          <w:p>
            <w:pPr>
              <w:ind w:firstLine="480"/>
            </w:pPr>
            <w:r>
              <w:rPr>
                <w:rFonts w:hint="eastAsia"/>
              </w:rPr>
              <w:t>本项目包括</w:t>
            </w:r>
            <w:r>
              <w:t>：钻前作业、钻井施工、试油作业、</w:t>
            </w:r>
            <w:r>
              <w:rPr>
                <w:rFonts w:hint="eastAsia"/>
              </w:rPr>
              <w:t>钻后工程</w:t>
            </w:r>
            <w:r>
              <w:t>。</w:t>
            </w:r>
          </w:p>
          <w:p>
            <w:pPr>
              <w:pStyle w:val="19"/>
            </w:pPr>
            <w:r>
              <w:t>1.1</w:t>
            </w:r>
            <w:r>
              <w:rPr>
                <w:rFonts w:hint="eastAsia"/>
              </w:rPr>
              <w:t xml:space="preserve"> </w:t>
            </w:r>
            <w:r>
              <w:t>钻前作业</w:t>
            </w:r>
          </w:p>
          <w:p>
            <w:pPr>
              <w:ind w:firstLine="480"/>
            </w:pPr>
            <w:r>
              <w:t>钻前作业主要包括井场、道路以及生活营地占地清理平整，设备入场等，工艺流程如下：</w:t>
            </w:r>
          </w:p>
          <w:p>
            <w:pPr>
              <w:ind w:firstLine="480"/>
            </w:pPr>
            <w:r>
              <w:t>（1）钻前整理场地，并保证全套钻井设备达到相关的安装标准。</w:t>
            </w:r>
          </w:p>
          <w:p>
            <w:pPr>
              <w:ind w:firstLine="480"/>
            </w:pPr>
            <w:r>
              <w:t>（2）在钻机安装的过程中，注意保护井口设备。</w:t>
            </w:r>
          </w:p>
          <w:p>
            <w:pPr>
              <w:ind w:firstLine="480"/>
            </w:pPr>
            <w:r>
              <w:t>（3）要求天车、转盘、井口三点成一条铅垂线，误差小于10mm；确保在施工过程中不偏磨井口套管及井控设备。</w:t>
            </w:r>
          </w:p>
          <w:p>
            <w:pPr>
              <w:ind w:firstLine="480"/>
            </w:pPr>
            <w:r>
              <w:t>（4）设备运转正常，安全装置灵活好用。各种仪器仪表准确灵敏好用。</w:t>
            </w:r>
          </w:p>
          <w:p>
            <w:pPr>
              <w:ind w:firstLine="480"/>
            </w:pPr>
            <w:r>
              <w:t>（5）钻具在入井前必须用通径规通径。</w:t>
            </w:r>
          </w:p>
          <w:p>
            <w:pPr>
              <w:ind w:firstLine="480"/>
            </w:pPr>
            <w:r>
              <w:t>（6）对所有的下井钻具进行外观检查和超声波探伤，准确丈量钻具，钻具记录上注明内外径、扣型，特殊工具要画草图。</w:t>
            </w:r>
          </w:p>
          <w:p>
            <w:pPr>
              <w:ind w:firstLine="480"/>
            </w:pPr>
            <w:r>
              <w:t>（7）钻前道路以能通重型车为标准修建，修建为简易砂石路。</w:t>
            </w:r>
          </w:p>
          <w:p>
            <w:pPr>
              <w:ind w:firstLine="480"/>
            </w:pPr>
            <w:r>
              <w:t>（8）预留放喷池位置、岩屑储罐建设等。</w:t>
            </w:r>
          </w:p>
          <w:p>
            <w:pPr>
              <w:pStyle w:val="19"/>
            </w:pPr>
            <w:r>
              <w:t>1.2</w:t>
            </w:r>
            <w:r>
              <w:rPr>
                <w:rFonts w:hint="eastAsia"/>
              </w:rPr>
              <w:t xml:space="preserve"> </w:t>
            </w:r>
            <w:r>
              <w:t>钻井施工</w:t>
            </w:r>
          </w:p>
          <w:p>
            <w:pPr>
              <w:pStyle w:val="19"/>
              <w:ind w:firstLine="480" w:firstLineChars="200"/>
              <w:rPr>
                <w:b w:val="0"/>
              </w:rPr>
            </w:pPr>
            <w:r>
              <w:rPr>
                <w:b w:val="0"/>
              </w:rPr>
              <w:t>钻井是采用旋转的钻头给所钻的地层一定的压力，使钻头的牙齿嵌入地层，然后旋转钻头，利用旋转钻头的扭矩来切削地层，并用循环的钻井液将钻屑带出井眼，以保证持续钻井。钻井施工作业流程及排污节点见图2-</w:t>
            </w:r>
            <w:r>
              <w:rPr>
                <w:rFonts w:hint="eastAsia"/>
                <w:b w:val="0"/>
              </w:rPr>
              <w:t>10</w:t>
            </w:r>
            <w:r>
              <w:rPr>
                <w:b w:val="0"/>
              </w:rPr>
              <w:t>。</w:t>
            </w:r>
          </w:p>
          <w:p>
            <w:pPr>
              <w:pStyle w:val="19"/>
              <w:jc w:val="center"/>
            </w:pPr>
            <w:r>
              <mc:AlternateContent>
                <mc:Choice Requires="wps">
                  <w:drawing>
                    <wp:anchor distT="0" distB="0" distL="114300" distR="114300" simplePos="0" relativeHeight="251662336" behindDoc="0" locked="0" layoutInCell="1" allowOverlap="1">
                      <wp:simplePos x="0" y="0"/>
                      <wp:positionH relativeFrom="column">
                        <wp:posOffset>3441700</wp:posOffset>
                      </wp:positionH>
                      <wp:positionV relativeFrom="paragraph">
                        <wp:posOffset>2799080</wp:posOffset>
                      </wp:positionV>
                      <wp:extent cx="666750" cy="334010"/>
                      <wp:effectExtent l="0" t="0" r="0" b="0"/>
                      <wp:wrapNone/>
                      <wp:docPr id="139" name="文本框 139"/>
                      <wp:cNvGraphicFramePr/>
                      <a:graphic xmlns:a="http://schemas.openxmlformats.org/drawingml/2006/main">
                        <a:graphicData uri="http://schemas.microsoft.com/office/word/2010/wordprocessingShape">
                          <wps:wsp>
                            <wps:cNvSpPr txBox="1"/>
                            <wps:spPr>
                              <a:xfrm>
                                <a:off x="0" y="0"/>
                                <a:ext cx="666750" cy="334010"/>
                              </a:xfrm>
                              <a:prstGeom prst="rect">
                                <a:avLst/>
                              </a:prstGeom>
                              <a:noFill/>
                              <a:ln>
                                <a:noFill/>
                              </a:ln>
                              <a:effectLst/>
                            </wps:spPr>
                            <wps:txbx>
                              <w:txbxContent>
                                <w:p>
                                  <w:pPr>
                                    <w:ind w:firstLine="0" w:firstLineChars="0"/>
                                    <w:rPr>
                                      <w:color w:val="A4A4A4"/>
                                    </w:rPr>
                                  </w:pPr>
                                  <w:r>
                                    <w:rPr>
                                      <w:rFonts w:hint="eastAsia"/>
                                      <w:b/>
                                      <w:bCs/>
                                      <w:color w:val="7E7E7E"/>
                                      <w:sz w:val="21"/>
                                      <w:szCs w:val="21"/>
                                    </w:rPr>
                                    <w:t>储罐</w:t>
                                  </w:r>
                                </w:p>
                              </w:txbxContent>
                            </wps:txbx>
                            <wps:bodyPr upright="1"/>
                          </wps:wsp>
                        </a:graphicData>
                      </a:graphic>
                    </wp:anchor>
                  </w:drawing>
                </mc:Choice>
                <mc:Fallback>
                  <w:pict>
                    <v:shape id="_x0000_s1026" o:spid="_x0000_s1026" o:spt="202" type="#_x0000_t202" style="position:absolute;left:0pt;margin-left:271pt;margin-top:220.4pt;height:26.3pt;width:52.5pt;z-index:251662336;mso-width-relative:page;mso-height-relative:page;" filled="f" stroked="f" coordsize="21600,21600" o:gfxdata="UEsDBAoAAAAAAIdO4kAAAAAAAAAAAAAAAAAEAAAAZHJzL1BLAwQUAAAACACHTuJAr4i2pNgAAAAL&#10;AQAADwAAAGRycy9kb3ducmV2LnhtbE2PwU7DMBBE70j8g7VI3Kjd4rY0jdMDiCuI0lbi5sbbJGq8&#10;jmK3CX/PcoLjzo5m5uWb0bfiin1sAhmYThQIpDK4hioDu8/XhycQMVlytg2EBr4xwqa4vclt5sJA&#10;H3jdpkpwCMXMGqhT6jIpY1mjt3ESOiT+nULvbeKzr6Tr7cDhvpUzpRbS24a4obYdPtdYnrcXb2D/&#10;dvo6aPVevfh5N4RRSfIracz93VStQSQc058ZfufzdCh40zFcyEXRGpjrGbMkA1orZmDHQi9ZObKy&#10;etQgi1z+Zyh+AFBLAwQUAAAACACHTuJAHTQ9t7EBAABfAwAADgAAAGRycy9lMm9Eb2MueG1srVNL&#10;jhMxEN0jcQfLe9KZCQRopTMSioYNAqQZDuC4y2lL/snlpDsXgBuwYsOec+UclN09YT6bWbBxl6vK&#10;r+q9ql5dDdawA0TU3jX8YjbnDJz0rXa7hn+7vX71jjNMwrXCeAcNPwLyq/XLF6s+1HDpO29aiIxA&#10;HNZ9aHiXUqirCmUHVuDMB3AUVD5akegad1UbRU/o1lSX8/my6n1sQ/QSEMm7GYN8QozPAfRKaQkb&#10;L/cWXBpRIxiRiBJ2OiBfl26VApm+KIWQmGk4MU3lpCJkb/NZrVei3kUROi2nFsRzWnjEyQrtqOgZ&#10;aiOSYPuon0BZLaNHr9JMeluNRIoixOJi/kibm04EKFxIagxn0fH/wcrPh6+R6ZY2YfGeMycsjfz0&#10;88fp15/T7+8sO0miPmBNmTeBctPwwQ+UfudHcmbmg4o2f4kTozgJfDwLDENikpzL5fLtG4pICi0W&#10;r4lxRqn+PQ4R00fwlmWj4ZHmV2QVh0+YxtS7lFzL+WttTJmhcQ8chDl6oCzB9DrzGPvNVhq2w0Ru&#10;69sjcduHqHcdFS7sqpxEupcOpx3Jg71/J/v+f7H+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I&#10;tqTYAAAACwEAAA8AAAAAAAAAAQAgAAAAIgAAAGRycy9kb3ducmV2LnhtbFBLAQIUABQAAAAIAIdO&#10;4kAdND23sQEAAF8DAAAOAAAAAAAAAAEAIAAAACcBAABkcnMvZTJvRG9jLnhtbFBLBQYAAAAABgAG&#10;AFkBAABKBQAAAAA=&#10;">
                      <v:fill on="f" focussize="0,0"/>
                      <v:stroke on="f"/>
                      <v:imagedata o:title=""/>
                      <o:lock v:ext="edit" aspectratio="f"/>
                      <v:textbox>
                        <w:txbxContent>
                          <w:p>
                            <w:pPr>
                              <w:ind w:firstLine="0" w:firstLineChars="0"/>
                              <w:rPr>
                                <w:color w:val="A4A4A4"/>
                              </w:rPr>
                            </w:pPr>
                            <w:r>
                              <w:rPr>
                                <w:rFonts w:hint="eastAsia"/>
                                <w:b/>
                                <w:bCs/>
                                <w:color w:val="7E7E7E"/>
                                <w:sz w:val="21"/>
                                <w:szCs w:val="21"/>
                              </w:rPr>
                              <w:t>储罐</w:t>
                            </w:r>
                          </w:p>
                        </w:txbxContent>
                      </v:textbox>
                    </v:shape>
                  </w:pict>
                </mc:Fallback>
              </mc:AlternateContent>
            </w:r>
            <w:r>
              <w:drawing>
                <wp:inline distT="0" distB="0" distL="114300" distR="114300">
                  <wp:extent cx="4436745" cy="3372485"/>
                  <wp:effectExtent l="0" t="0" r="1905" b="18415"/>
                  <wp:docPr id="6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
                          <pic:cNvPicPr>
                            <a:picLocks noChangeAspect="1"/>
                          </pic:cNvPicPr>
                        </pic:nvPicPr>
                        <pic:blipFill>
                          <a:blip r:embed="rId17"/>
                          <a:srcRect l="1881"/>
                          <a:stretch>
                            <a:fillRect/>
                          </a:stretch>
                        </pic:blipFill>
                        <pic:spPr>
                          <a:xfrm>
                            <a:off x="0" y="0"/>
                            <a:ext cx="4436745" cy="3372485"/>
                          </a:xfrm>
                          <a:prstGeom prst="rect">
                            <a:avLst/>
                          </a:prstGeom>
                          <a:noFill/>
                          <a:ln>
                            <a:noFill/>
                          </a:ln>
                        </pic:spPr>
                      </pic:pic>
                    </a:graphicData>
                  </a:graphic>
                </wp:inline>
              </w:drawing>
            </w:r>
          </w:p>
          <w:p>
            <w:pPr>
              <w:pStyle w:val="2"/>
              <w:spacing w:line="360" w:lineRule="auto"/>
            </w:pPr>
            <w:r>
              <w:t>图2-</w:t>
            </w:r>
            <w:r>
              <w:rPr>
                <w:rFonts w:hint="eastAsia"/>
              </w:rPr>
              <w:t>10</w:t>
            </w:r>
            <w:r>
              <w:t xml:space="preserve"> </w:t>
            </w:r>
            <w:r>
              <w:rPr>
                <w:rFonts w:hint="eastAsia"/>
              </w:rPr>
              <w:t xml:space="preserve"> </w:t>
            </w:r>
            <w:r>
              <w:t>钻井工艺流程及产污环节图</w:t>
            </w:r>
          </w:p>
          <w:p>
            <w:pPr>
              <w:ind w:firstLine="480"/>
            </w:pPr>
            <w:r>
              <w:t>钻井时井筒排出的钻井泥浆及岩屑进入泥浆不落地循环系统，该系统设置振动筛、除砂器、除泥器、离心机四级处理，经四级处理后，岩屑与钻井液完全分离，钻井液返回井筒，岩屑</w:t>
            </w:r>
            <w:r>
              <w:rPr>
                <w:rFonts w:hint="eastAsia"/>
              </w:rPr>
              <w:t>收集</w:t>
            </w:r>
            <w:r>
              <w:t>于岩屑储罐，委托有资质的</w:t>
            </w:r>
            <w:r>
              <w:rPr>
                <w:rFonts w:hint="eastAsia"/>
              </w:rPr>
              <w:t>单位</w:t>
            </w:r>
            <w:r>
              <w:t>处置。工艺流程如下：</w:t>
            </w:r>
          </w:p>
          <w:p>
            <w:pPr>
              <w:ind w:firstLine="480"/>
            </w:pPr>
            <w:r>
              <w:t>（1）钻井井口产生的钻井泥浆、岩屑混合物经振动筛、除砂器、除泥器、离心机四级实现初步分离，分离出的液相进入废水收集罐，用于钻井液配制。分离出的混合物进入收集箱待进一步处理。</w:t>
            </w:r>
          </w:p>
          <w:p>
            <w:pPr>
              <w:ind w:firstLine="480"/>
            </w:pPr>
            <w:r>
              <w:t>（2）收集箱中的混合物经不落地系统进一步固液分离，</w:t>
            </w:r>
            <w:r>
              <w:rPr>
                <w:rFonts w:hint="eastAsia"/>
              </w:rPr>
              <w:t>分离出的岩屑</w:t>
            </w:r>
            <w:r>
              <w:t>由第三方单位进行无害化处置。</w:t>
            </w:r>
          </w:p>
          <w:p>
            <w:pPr>
              <w:ind w:firstLine="480"/>
            </w:pPr>
            <w:r>
              <w:t>（3）钻井结束后剩余钻井</w:t>
            </w:r>
            <w:r>
              <w:rPr>
                <w:rFonts w:hint="eastAsia"/>
              </w:rPr>
              <w:t>液</w:t>
            </w:r>
            <w:r>
              <w:t>由钻井队回收，送至下个井场循环利用，不外排；防渗膜由施工队回收利用，废弃防渗膜交由有危废处置资质的单位处置。</w:t>
            </w:r>
          </w:p>
          <w:p>
            <w:pPr>
              <w:pStyle w:val="19"/>
              <w:ind w:firstLine="480" w:firstLineChars="200"/>
              <w:rPr>
                <w:b w:val="0"/>
              </w:rPr>
            </w:pPr>
            <w:bookmarkStart w:id="19" w:name="_Hlk26200379"/>
            <w:r>
              <w:rPr>
                <w:b w:val="0"/>
              </w:rPr>
              <w:t>固井作业：</w:t>
            </w:r>
          </w:p>
          <w:p>
            <w:pPr>
              <w:pStyle w:val="19"/>
              <w:ind w:firstLine="480" w:firstLineChars="200"/>
              <w:rPr>
                <w:b w:val="0"/>
              </w:rPr>
            </w:pPr>
            <w:r>
              <w:rPr>
                <w:b w:val="0"/>
              </w:rPr>
              <w:t>固井是在已钻成的井眼内下入套管，然后在套管与井壁之间环空内注入水泥浆将套管和地层固结在一起的工艺过程，可防止复杂情况以保证安全继续钻进下一段井眼或保证顺利开采生产层中的油、气。</w:t>
            </w:r>
          </w:p>
          <w:p>
            <w:pPr>
              <w:pStyle w:val="19"/>
              <w:ind w:firstLine="480" w:firstLineChars="200"/>
              <w:rPr>
                <w:b w:val="0"/>
              </w:rPr>
            </w:pPr>
            <w:r>
              <w:rPr>
                <w:b w:val="0"/>
              </w:rPr>
              <w:t>固井工程包括下套管和注水泥两个过程。下套管就是在已经钻成的井眼中按规定深度下入一定直径、由某种或几种不同钢级及壁厚的套管组成的套管柱。注水泥就是在地面上将水泥浆通过套管柱注入到井眼与套管柱之间的环形空间中的过程。固井的主要目的是封隔疏松的易塌、易漏地层；封隔油、气、水层，防止互相窜漏。固井作业的主要设备有水泥搅拌机、下灰罐车、混合漏斗和其他附属安全放喷设备等。</w:t>
            </w:r>
          </w:p>
          <w:p>
            <w:pPr>
              <w:pStyle w:val="19"/>
              <w:ind w:firstLine="480" w:firstLineChars="200"/>
            </w:pPr>
            <w:r>
              <w:rPr>
                <w:b w:val="0"/>
              </w:rPr>
              <w:t>另外，现场施工前根据实际情况要作水泥浆配方及性能复核试验，同时，如果是钻进中井漏严重，则应考虑采用双凝水泥浆体系固井，从而提高固井质量，防止因为井漏事故造成地下水环境污染。</w:t>
            </w:r>
          </w:p>
          <w:p>
            <w:pPr>
              <w:pStyle w:val="19"/>
              <w:ind w:firstLine="480" w:firstLineChars="200"/>
              <w:rPr>
                <w:b w:val="0"/>
                <w:bCs/>
              </w:rPr>
            </w:pPr>
            <w:r>
              <w:rPr>
                <w:b w:val="0"/>
                <w:bCs/>
              </w:rPr>
              <w:t>钻井期生活污水排入井场防渗收集池，定期</w:t>
            </w:r>
            <w:r>
              <w:rPr>
                <w:rFonts w:hint="eastAsia"/>
                <w:b w:val="0"/>
                <w:bCs/>
              </w:rPr>
              <w:t>清运</w:t>
            </w:r>
            <w:r>
              <w:rPr>
                <w:b w:val="0"/>
                <w:bCs/>
              </w:rPr>
              <w:t>至乌尔禾区污水处理厂处理。</w:t>
            </w:r>
            <w:r>
              <w:rPr>
                <w:rFonts w:hint="eastAsia"/>
                <w:b w:val="0"/>
                <w:bCs/>
              </w:rPr>
              <w:t>生活垃圾集中收集后统一拉运至乌尔禾区生活垃圾填埋场处理。</w:t>
            </w:r>
          </w:p>
          <w:p>
            <w:pPr>
              <w:pStyle w:val="19"/>
            </w:pPr>
            <w:r>
              <w:t>1.3</w:t>
            </w:r>
            <w:r>
              <w:rPr>
                <w:rFonts w:hint="eastAsia"/>
              </w:rPr>
              <w:t xml:space="preserve"> </w:t>
            </w:r>
            <w:r>
              <w:t>钻井</w:t>
            </w:r>
            <w:r>
              <w:rPr>
                <w:rFonts w:hint="eastAsia"/>
              </w:rPr>
              <w:t>泥浆</w:t>
            </w:r>
            <w:r>
              <w:t>不落地</w:t>
            </w:r>
          </w:p>
          <w:p>
            <w:pPr>
              <w:ind w:firstLine="480"/>
            </w:pPr>
            <w:r>
              <w:t>由于开挖大循环池存放钻井液及岩屑的形式会造成土壤及地下水污染，破坏生态环境，本工程施</w:t>
            </w:r>
            <w:bookmarkEnd w:id="19"/>
            <w:bookmarkStart w:id="20" w:name="_Hlk26200389"/>
            <w:r>
              <w:t>工期产生的岩屑及钻井液全部进行不落地处理，使施工期固体废物实现回用及妥善处理，不外排。岩屑进入钻井废弃物不落地系统中处理并实现固液分离，分离后的钻井液循环使用，钻井结束后，剩余液相由钻井施工单位回收至钻井液配制站，用于其他区块井场的钻井液配制，</w:t>
            </w:r>
            <w:r>
              <w:rPr>
                <w:szCs w:val="21"/>
              </w:rPr>
              <w:t>固相</w:t>
            </w:r>
            <w:r>
              <w:rPr>
                <w:rFonts w:hint="eastAsia"/>
                <w:szCs w:val="21"/>
              </w:rPr>
              <w:t>收集于</w:t>
            </w:r>
            <w:r>
              <w:rPr>
                <w:szCs w:val="21"/>
              </w:rPr>
              <w:t>岩屑储罐</w:t>
            </w:r>
            <w:r>
              <w:t>。</w:t>
            </w:r>
            <w:r>
              <w:rPr>
                <w:szCs w:val="21"/>
              </w:rPr>
              <w:t>储罐底部均</w:t>
            </w:r>
            <w:r>
              <w:rPr>
                <w:kern w:val="24"/>
                <w:szCs w:val="22"/>
              </w:rPr>
              <w:t>采用HDPE防渗膜进行防渗，渗透系数≤10</w:t>
            </w:r>
            <w:r>
              <w:rPr>
                <w:kern w:val="24"/>
                <w:szCs w:val="22"/>
                <w:vertAlign w:val="superscript"/>
              </w:rPr>
              <w:t>-7</w:t>
            </w:r>
            <w:r>
              <w:rPr>
                <w:kern w:val="24"/>
                <w:szCs w:val="22"/>
              </w:rPr>
              <w:t>cm/s，满足</w:t>
            </w:r>
            <w:r>
              <w:t>《一般工业固体废物贮存和填埋污染控制标准》（GB 18599-2020）</w:t>
            </w:r>
            <w:r>
              <w:rPr>
                <w:kern w:val="24"/>
                <w:szCs w:val="22"/>
              </w:rPr>
              <w:t>中的相关标准要求。</w:t>
            </w:r>
          </w:p>
          <w:p>
            <w:pPr>
              <w:ind w:firstLine="480"/>
            </w:pPr>
            <w:r>
              <w:t>※工艺流程说明：</w:t>
            </w:r>
          </w:p>
          <w:p>
            <w:pPr>
              <w:ind w:firstLine="480"/>
            </w:pPr>
            <w:r>
              <w:t>不落地系统由振动筛、除砂器、除泥器、离心机等设备组成，钻井液及岩屑进入不落地系统后，经以下步骤进行处理：</w:t>
            </w:r>
          </w:p>
          <w:p>
            <w:pPr>
              <w:ind w:firstLine="480"/>
            </w:pPr>
            <w:r>
              <w:t>a、钻井液、岩屑经振动筛、除砂器、离心机多级分离后，实现初步分离，分离后的固相进入收集箱，再输送至甩干机和离心机进行二次深度固液分离，二次分离出的液相回用，分离出的固相</w:t>
            </w:r>
            <w:r>
              <w:rPr>
                <w:rFonts w:hint="eastAsia"/>
                <w:szCs w:val="21"/>
              </w:rPr>
              <w:t>收集于</w:t>
            </w:r>
            <w:r>
              <w:rPr>
                <w:szCs w:val="21"/>
              </w:rPr>
              <w:t>岩屑储罐</w:t>
            </w:r>
            <w:r>
              <w:t>；</w:t>
            </w:r>
          </w:p>
          <w:p>
            <w:pPr>
              <w:ind w:firstLine="480"/>
            </w:pPr>
            <w:r>
              <w:t>b、初步分离出的液相进入废水收集罐。通过废水收集罐进行处理，处理后的再生钻井液进入处理水储罐内用于钻井液配制。</w:t>
            </w:r>
          </w:p>
          <w:p>
            <w:pPr>
              <w:ind w:firstLine="480"/>
            </w:pPr>
            <w:r>
              <w:t>工艺流程图见图2-1</w:t>
            </w:r>
            <w:r>
              <w:rPr>
                <w:rFonts w:hint="eastAsia"/>
              </w:rPr>
              <w:t>1</w:t>
            </w:r>
            <w:r>
              <w:t>所示。</w:t>
            </w:r>
          </w:p>
          <w:bookmarkEnd w:id="20"/>
          <w:p>
            <w:pPr>
              <w:ind w:firstLine="0" w:firstLineChars="0"/>
              <w:jc w:val="center"/>
            </w:pPr>
            <w:r>
              <w:drawing>
                <wp:inline distT="0" distB="0" distL="114300" distR="114300">
                  <wp:extent cx="5327015" cy="2568575"/>
                  <wp:effectExtent l="0" t="0" r="6985" b="3175"/>
                  <wp:docPr id="66"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 descr="图片1"/>
                          <pic:cNvPicPr>
                            <a:picLocks noChangeAspect="1"/>
                          </pic:cNvPicPr>
                        </pic:nvPicPr>
                        <pic:blipFill>
                          <a:blip r:embed="rId18"/>
                          <a:stretch>
                            <a:fillRect/>
                          </a:stretch>
                        </pic:blipFill>
                        <pic:spPr>
                          <a:xfrm>
                            <a:off x="0" y="0"/>
                            <a:ext cx="5327015" cy="2568575"/>
                          </a:xfrm>
                          <a:prstGeom prst="rect">
                            <a:avLst/>
                          </a:prstGeom>
                          <a:noFill/>
                          <a:ln>
                            <a:noFill/>
                          </a:ln>
                        </pic:spPr>
                      </pic:pic>
                    </a:graphicData>
                  </a:graphic>
                </wp:inline>
              </w:drawing>
            </w:r>
          </w:p>
          <w:p>
            <w:pPr>
              <w:pStyle w:val="2"/>
              <w:spacing w:line="360" w:lineRule="auto"/>
            </w:pPr>
            <w:r>
              <w:t>图2-1</w:t>
            </w:r>
            <w:r>
              <w:rPr>
                <w:rFonts w:hint="eastAsia"/>
              </w:rPr>
              <w:t>1</w:t>
            </w:r>
            <w:r>
              <w:t xml:space="preserve">  泥浆不落地工艺流程图</w:t>
            </w:r>
          </w:p>
          <w:p>
            <w:pPr>
              <w:ind w:firstLine="480"/>
              <w:rPr>
                <w:b/>
              </w:rPr>
            </w:pPr>
            <w:bookmarkStart w:id="21" w:name="OLE_LINK5"/>
            <w:r>
              <w:t>泥浆不落地处理是将钻井泥浆中的钻屑含水率进行控制，稳定液相性能，达到不落地的目的，使其液相在不破坏的情况下，满足二次利用要求。泥浆不落地处理系统能有效实现当前环保要求的社会价值，更大化实现钻井现场钻井液有效利用的经济价值。</w:t>
            </w:r>
            <w:bookmarkEnd w:id="21"/>
          </w:p>
          <w:p>
            <w:pPr>
              <w:ind w:firstLine="0" w:firstLineChars="0"/>
              <w:rPr>
                <w:b/>
              </w:rPr>
            </w:pPr>
            <w:r>
              <w:rPr>
                <w:b/>
              </w:rPr>
              <w:t>1.4</w:t>
            </w:r>
            <w:r>
              <w:rPr>
                <w:rFonts w:hint="eastAsia"/>
                <w:b/>
              </w:rPr>
              <w:t xml:space="preserve"> </w:t>
            </w:r>
            <w:r>
              <w:rPr>
                <w:b/>
              </w:rPr>
              <w:t>试油作业</w:t>
            </w:r>
          </w:p>
          <w:p>
            <w:pPr>
              <w:ind w:firstLine="480"/>
            </w:pPr>
            <w:r>
              <w:t>试油就是利用专用的设备和方法，对通过地震勘察、钻井录井、测井等间接手段初步确定的可能含油（气）层位进行直接的测试，并取得目的层的产能、压力、温度、油气水性质以及地质资料的工艺过程。</w:t>
            </w:r>
          </w:p>
          <w:p>
            <w:pPr>
              <w:numPr>
                <w:ilvl w:val="0"/>
                <w:numId w:val="1"/>
              </w:numPr>
              <w:ind w:firstLine="480"/>
            </w:pPr>
            <w:r>
              <w:t>通井</w:t>
            </w:r>
            <w:r>
              <w:rPr>
                <w:rFonts w:hint="eastAsia"/>
              </w:rPr>
              <w:t>：</w:t>
            </w:r>
            <w:r>
              <w:t>用钻杆或油管带通井规下入井内，清除井壁上附着的固体物质，如钢渣、固井残留水泥等，同时检查套管是否有影响试油工具通过的弯曲</w:t>
            </w:r>
            <w:r>
              <w:rPr>
                <w:rFonts w:hint="eastAsia"/>
              </w:rPr>
              <w:t>和变形，检查固井后形成的人工井底是否满足试油要求。</w:t>
            </w:r>
          </w:p>
          <w:p>
            <w:pPr>
              <w:numPr>
                <w:ilvl w:val="0"/>
                <w:numId w:val="1"/>
              </w:numPr>
              <w:ind w:firstLine="480"/>
            </w:pPr>
            <w:r>
              <w:t>洗井</w:t>
            </w:r>
            <w:r>
              <w:rPr>
                <w:rFonts w:hint="eastAsia"/>
              </w:rPr>
              <w:t>：</w:t>
            </w:r>
            <w:r>
              <w:t>使用泵注设备，利用洗井液，通过井内管柱内外循环，清除套管壁杂物等，每口井洗井1次</w:t>
            </w:r>
            <w:r>
              <w:rPr>
                <w:rFonts w:hint="eastAsia"/>
              </w:rPr>
              <w:t>。</w:t>
            </w:r>
          </w:p>
          <w:p>
            <w:pPr>
              <w:numPr>
                <w:ilvl w:val="0"/>
                <w:numId w:val="1"/>
              </w:numPr>
              <w:ind w:firstLine="480"/>
            </w:pPr>
            <w:r>
              <w:t>射孔</w:t>
            </w:r>
            <w:r>
              <w:rPr>
                <w:rFonts w:hint="eastAsia"/>
              </w:rPr>
              <w:t>：</w:t>
            </w:r>
            <w:r>
              <w:t>利用专用设备和射孔枪，对套管和井壁进行射孔，建立地层与井筒之间的通道</w:t>
            </w:r>
            <w:r>
              <w:rPr>
                <w:rFonts w:hint="eastAsia"/>
              </w:rPr>
              <w:t>。</w:t>
            </w:r>
          </w:p>
          <w:p>
            <w:pPr>
              <w:numPr>
                <w:ilvl w:val="0"/>
                <w:numId w:val="1"/>
              </w:numPr>
              <w:ind w:firstLine="480"/>
            </w:pPr>
            <w:r>
              <w:t>压裂</w:t>
            </w:r>
            <w:r>
              <w:rPr>
                <w:rFonts w:hint="eastAsia"/>
              </w:rPr>
              <w:t>：</w:t>
            </w:r>
            <w:r>
              <w:t>用泵车将压裂液挤入目的层，当把目的层压出许多裂缝后，加入支撑剂，如石英砂等，充填进裂缝，提高目的层的渗透能力，每口井进行1次压裂作业</w:t>
            </w:r>
            <w:r>
              <w:rPr>
                <w:rFonts w:hint="eastAsia"/>
              </w:rPr>
              <w:t>。</w:t>
            </w:r>
          </w:p>
          <w:p>
            <w:pPr>
              <w:ind w:firstLine="480"/>
            </w:pPr>
            <w:r>
              <w:t>试油前先安装井口放喷专用管线、各种计量设备、油气两相分离设备、原油回收罐等。如该井有油气资源，则产出液经两相分离器分离后，采出液进入临时储罐，伴生气由放散管燃烧放散</w:t>
            </w:r>
            <w:r>
              <w:rPr>
                <w:rFonts w:hint="eastAsia"/>
              </w:rPr>
              <w:t>。</w:t>
            </w:r>
            <w:r>
              <w:t>试油作业流程见图2-1</w:t>
            </w:r>
            <w:r>
              <w:rPr>
                <w:rFonts w:hint="eastAsia"/>
              </w:rPr>
              <w:t>2</w:t>
            </w:r>
            <w:r>
              <w:t>。</w:t>
            </w:r>
          </w:p>
          <w:p>
            <w:pPr>
              <w:ind w:firstLine="0" w:firstLineChars="0"/>
              <w:jc w:val="center"/>
            </w:pPr>
            <w:r>
              <w:drawing>
                <wp:inline distT="0" distB="0" distL="114300" distR="114300">
                  <wp:extent cx="4015105" cy="2584450"/>
                  <wp:effectExtent l="0" t="0" r="4445" b="6350"/>
                  <wp:docPr id="2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
                          <pic:cNvPicPr>
                            <a:picLocks noChangeAspect="1"/>
                          </pic:cNvPicPr>
                        </pic:nvPicPr>
                        <pic:blipFill>
                          <a:blip r:embed="rId19"/>
                          <a:stretch>
                            <a:fillRect/>
                          </a:stretch>
                        </pic:blipFill>
                        <pic:spPr>
                          <a:xfrm>
                            <a:off x="0" y="0"/>
                            <a:ext cx="4015105" cy="2584450"/>
                          </a:xfrm>
                          <a:prstGeom prst="rect">
                            <a:avLst/>
                          </a:prstGeom>
                          <a:noFill/>
                          <a:ln>
                            <a:noFill/>
                          </a:ln>
                        </pic:spPr>
                      </pic:pic>
                    </a:graphicData>
                  </a:graphic>
                </wp:inline>
              </w:drawing>
            </w:r>
          </w:p>
          <w:p>
            <w:pPr>
              <w:pStyle w:val="2"/>
              <w:spacing w:line="360" w:lineRule="auto"/>
            </w:pPr>
            <w:r>
              <w:t>图2-1</w:t>
            </w:r>
            <w:r>
              <w:rPr>
                <w:rFonts w:hint="eastAsia"/>
              </w:rPr>
              <w:t>2</w:t>
            </w:r>
            <w:r>
              <w:t xml:space="preserve">  试油作业流程及产污节点图</w:t>
            </w:r>
          </w:p>
          <w:p>
            <w:pPr>
              <w:pStyle w:val="19"/>
            </w:pPr>
            <w:r>
              <w:t>1.5</w:t>
            </w:r>
            <w:r>
              <w:rPr>
                <w:rFonts w:hint="eastAsia"/>
              </w:rPr>
              <w:t xml:space="preserve"> 钻后工程</w:t>
            </w:r>
          </w:p>
          <w:p>
            <w:pPr>
              <w:ind w:firstLine="480"/>
            </w:pPr>
            <w:r>
              <w:t>测试完井后</w:t>
            </w:r>
            <w:r>
              <w:rPr>
                <w:rFonts w:hint="eastAsia"/>
              </w:rPr>
              <w:t>，</w:t>
            </w:r>
            <w:r>
              <w:t>要换装井口装置，有油时井口需换装采油树，其余设施将拆除、搬迁，钻井液材料全部进行回收，井场无遗留，钻井过程中产生的各类废物进行清理，并进行产能建设工程的环境影响评价</w:t>
            </w:r>
            <w:r>
              <w:rPr>
                <w:rFonts w:hint="eastAsia"/>
              </w:rPr>
              <w:t>。</w:t>
            </w:r>
            <w:r>
              <w:t>若该井无开采价值，则对地面设施进行拆除，对井口按照《废弃井及长停井处置指南》（SY/T 6646-2017）进行封井作业。撤去所有生产设施、平整井场；清理钻井现场，将垃圾、物料清理干净。</w:t>
            </w:r>
          </w:p>
          <w:p>
            <w:pPr>
              <w:ind w:firstLine="480"/>
              <w:rPr>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69" w:hRule="atLeast"/>
          <w:jc w:val="center"/>
        </w:trPr>
        <w:tc>
          <w:tcPr>
            <w:tcW w:w="456" w:type="dxa"/>
            <w:tcBorders>
              <w:top w:val="single" w:color="auto" w:sz="2" w:space="0"/>
              <w:left w:val="single" w:color="auto" w:sz="2" w:space="0"/>
              <w:bottom w:val="single" w:color="auto" w:sz="2" w:space="0"/>
              <w:right w:val="single" w:color="auto" w:sz="2" w:space="0"/>
            </w:tcBorders>
            <w:vAlign w:val="center"/>
          </w:tcPr>
          <w:p>
            <w:pPr>
              <w:ind w:firstLine="0" w:firstLineChars="0"/>
              <w:jc w:val="center"/>
              <w:rPr>
                <w:kern w:val="0"/>
              </w:rPr>
            </w:pPr>
            <w:r>
              <w:rPr>
                <w:kern w:val="0"/>
              </w:rPr>
              <w:t>其他</w:t>
            </w:r>
          </w:p>
        </w:tc>
        <w:tc>
          <w:tcPr>
            <w:tcW w:w="8604" w:type="dxa"/>
            <w:tcBorders>
              <w:top w:val="single" w:color="auto" w:sz="2" w:space="0"/>
              <w:left w:val="single" w:color="auto" w:sz="2" w:space="0"/>
              <w:bottom w:val="single" w:color="auto" w:sz="2" w:space="0"/>
              <w:right w:val="single" w:color="auto" w:sz="2" w:space="0"/>
            </w:tcBorders>
            <w:vAlign w:val="center"/>
          </w:tcPr>
          <w:p>
            <w:pPr>
              <w:ind w:firstLine="480"/>
              <w:jc w:val="center"/>
              <w:rPr>
                <w:kern w:val="0"/>
              </w:rPr>
            </w:pPr>
            <w:r>
              <w:t>无</w:t>
            </w:r>
          </w:p>
        </w:tc>
      </w:tr>
    </w:tbl>
    <w:p>
      <w:pPr>
        <w:ind w:firstLine="482"/>
        <w:jc w:val="center"/>
        <w:outlineLvl w:val="0"/>
        <w:rPr>
          <w:rFonts w:eastAsia="黑体"/>
          <w:snapToGrid w:val="0"/>
          <w:sz w:val="30"/>
          <w:szCs w:val="30"/>
        </w:rPr>
      </w:pPr>
      <w:r>
        <w:rPr>
          <w:rFonts w:eastAsia="仿宋_GB2312"/>
          <w:b/>
          <w:bCs/>
        </w:rPr>
        <w:br w:type="page"/>
      </w:r>
      <w:bookmarkStart w:id="22" w:name="_Toc3095"/>
      <w:r>
        <w:rPr>
          <w:rFonts w:eastAsia="黑体"/>
          <w:snapToGrid w:val="0"/>
          <w:sz w:val="30"/>
          <w:szCs w:val="30"/>
        </w:rPr>
        <w:t>三、生态环境现状、保护目标及评价标准</w:t>
      </w:r>
      <w:bookmarkEnd w:id="22"/>
    </w:p>
    <w:tbl>
      <w:tblPr>
        <w:tblStyle w:val="14"/>
        <w:tblW w:w="91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9"/>
        <w:gridCol w:w="82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859" w:type="dxa"/>
            <w:vAlign w:val="center"/>
          </w:tcPr>
          <w:p>
            <w:pPr>
              <w:ind w:firstLine="0" w:firstLineChars="0"/>
              <w:jc w:val="center"/>
              <w:rPr>
                <w:kern w:val="0"/>
                <w:szCs w:val="21"/>
              </w:rPr>
            </w:pPr>
            <w:r>
              <w:rPr>
                <w:kern w:val="0"/>
                <w:szCs w:val="21"/>
              </w:rPr>
              <w:t>生态环境现状</w:t>
            </w:r>
          </w:p>
        </w:tc>
        <w:tc>
          <w:tcPr>
            <w:tcW w:w="8298" w:type="dxa"/>
            <w:vAlign w:val="center"/>
          </w:tcPr>
          <w:p>
            <w:pPr>
              <w:pStyle w:val="4"/>
              <w:keepLines w:val="0"/>
              <w:numPr>
                <w:ilvl w:val="1"/>
                <w:numId w:val="0"/>
              </w:numPr>
              <w:adjustRightInd/>
              <w:snapToGrid/>
            </w:pPr>
            <w:bookmarkStart w:id="23" w:name="_Toc11891"/>
            <w:bookmarkStart w:id="24" w:name="_Toc4485"/>
            <w:r>
              <w:t>1</w:t>
            </w:r>
            <w:r>
              <w:rPr>
                <w:rFonts w:hint="eastAsia"/>
              </w:rPr>
              <w:t xml:space="preserve"> 生态环境影响评价等级及范围</w:t>
            </w:r>
          </w:p>
          <w:p>
            <w:pPr>
              <w:pStyle w:val="4"/>
              <w:keepLines w:val="0"/>
              <w:numPr>
                <w:ilvl w:val="1"/>
                <w:numId w:val="0"/>
              </w:numPr>
              <w:adjustRightInd/>
              <w:snapToGrid/>
              <w:rPr>
                <w:sz w:val="24"/>
                <w:szCs w:val="24"/>
              </w:rPr>
            </w:pPr>
            <w:r>
              <w:rPr>
                <w:rFonts w:hint="eastAsia"/>
                <w:sz w:val="24"/>
                <w:szCs w:val="24"/>
              </w:rPr>
              <w:t xml:space="preserve">1.1 </w:t>
            </w:r>
            <w:r>
              <w:rPr>
                <w:sz w:val="24"/>
                <w:szCs w:val="24"/>
              </w:rPr>
              <w:t>生态环境现状调查与评价</w:t>
            </w:r>
            <w:bookmarkEnd w:id="23"/>
            <w:bookmarkEnd w:id="24"/>
          </w:p>
          <w:p>
            <w:pPr>
              <w:adjustRightInd/>
              <w:snapToGrid/>
              <w:ind w:firstLine="480"/>
            </w:pPr>
            <w:r>
              <w:t>根据《新疆生态功能区划》，项目所在区域生态功能区的主要生态服务功能、生态敏感因子、主要生态环境问题和主要环境保护目标见表3-</w:t>
            </w:r>
            <w:r>
              <w:rPr>
                <w:rFonts w:hint="eastAsia"/>
              </w:rPr>
              <w:t>1</w:t>
            </w:r>
            <w:r>
              <w:t>，项目与新疆生态功能区划位置关系见图3-</w:t>
            </w:r>
            <w:r>
              <w:rPr>
                <w:rFonts w:hint="eastAsia"/>
              </w:rPr>
              <w:t>1</w:t>
            </w:r>
            <w:r>
              <w:t>。</w:t>
            </w:r>
          </w:p>
          <w:p>
            <w:pPr>
              <w:pStyle w:val="2"/>
              <w:spacing w:line="360" w:lineRule="auto"/>
              <w:rPr>
                <w:szCs w:val="21"/>
              </w:rPr>
            </w:pPr>
            <w:r>
              <w:rPr>
                <w:szCs w:val="21"/>
              </w:rPr>
              <w:t>表3-</w:t>
            </w:r>
            <w:r>
              <w:rPr>
                <w:rFonts w:hint="eastAsia"/>
                <w:szCs w:val="21"/>
              </w:rPr>
              <w:t>1</w:t>
            </w:r>
            <w:r>
              <w:rPr>
                <w:szCs w:val="21"/>
              </w:rPr>
              <w:t xml:space="preserve">  项目所属生态功能区具体情况</w:t>
            </w:r>
          </w:p>
          <w:tbl>
            <w:tblPr>
              <w:tblStyle w:val="14"/>
              <w:tblW w:w="8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276"/>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6" w:type="dxa"/>
                  <w:vMerge w:val="restart"/>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生态功能分区单元</w:t>
                  </w:r>
                </w:p>
              </w:tc>
              <w:tc>
                <w:tcPr>
                  <w:tcW w:w="1276"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生态区</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Ⅱ准噶尔盆地温性荒漠与绿洲农业生态区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6" w:type="dxa"/>
                  <w:vMerge w:val="continue"/>
                  <w:tcBorders>
                    <w:top w:val="single" w:color="auto" w:sz="4" w:space="0"/>
                    <w:left w:val="single" w:color="auto" w:sz="4" w:space="0"/>
                    <w:bottom w:val="single" w:color="auto" w:sz="4" w:space="0"/>
                    <w:right w:val="single" w:color="auto" w:sz="4" w:space="0"/>
                  </w:tcBorders>
                  <w:vAlign w:val="center"/>
                </w:tcPr>
                <w:p>
                  <w:pPr>
                    <w:pStyle w:val="20"/>
                    <w:rPr>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生态亚区</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Ⅱ1准噶尔盆地北部灌木半灌木荒漠生态亚区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6" w:type="dxa"/>
                  <w:vMerge w:val="continue"/>
                  <w:tcBorders>
                    <w:top w:val="single" w:color="auto" w:sz="4" w:space="0"/>
                    <w:left w:val="single" w:color="auto" w:sz="4" w:space="0"/>
                    <w:bottom w:val="single" w:color="auto" w:sz="4" w:space="0"/>
                    <w:right w:val="single" w:color="auto" w:sz="4" w:space="0"/>
                  </w:tcBorders>
                  <w:vAlign w:val="center"/>
                </w:tcPr>
                <w:p>
                  <w:pPr>
                    <w:pStyle w:val="20"/>
                    <w:rPr>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生态功能区</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rFonts w:hint="eastAsia"/>
                      <w:szCs w:val="21"/>
                    </w:rPr>
                    <w:t>15.</w:t>
                  </w:r>
                  <w:r>
                    <w:rPr>
                      <w:szCs w:val="21"/>
                    </w:rPr>
                    <w:t>夏子街输水工程沿线人工生态建设生态功能区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92" w:type="dxa"/>
                  <w:gridSpan w:val="2"/>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主要生态服务功能</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荒漠化控制、农畜产品生产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92" w:type="dxa"/>
                  <w:gridSpan w:val="2"/>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主要生态环境问题</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地下水开采过度、荒漠植被衰败、土地荒漠化、野生动物过渠受阻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92" w:type="dxa"/>
                  <w:gridSpan w:val="2"/>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生态敏感因子敏感程度</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生物多样性和生境不敏感，土地沙漠化轻度敏感，土壤侵蚀轻度敏感、极度敏感、土壤盐渍化不敏感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92" w:type="dxa"/>
                  <w:gridSpan w:val="2"/>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主要保护目标</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保护天然荒漠植被、防止土壤次生盐渍化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92" w:type="dxa"/>
                  <w:gridSpan w:val="2"/>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主要保护措施</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建设渠道沿线绿化带和野生动物过渠通道、加强防护林建设、农灌区逐步开发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92" w:type="dxa"/>
                  <w:gridSpan w:val="2"/>
                  <w:tcBorders>
                    <w:top w:val="single" w:color="auto" w:sz="4" w:space="0"/>
                    <w:left w:val="single" w:color="auto" w:sz="4" w:space="0"/>
                    <w:bottom w:val="single" w:color="auto" w:sz="4" w:space="0"/>
                    <w:right w:val="single" w:color="auto" w:sz="4" w:space="0"/>
                  </w:tcBorders>
                  <w:vAlign w:val="center"/>
                </w:tcPr>
                <w:p>
                  <w:pPr>
                    <w:pStyle w:val="20"/>
                    <w:rPr>
                      <w:szCs w:val="21"/>
                    </w:rPr>
                  </w:pPr>
                  <w:r>
                    <w:rPr>
                      <w:szCs w:val="21"/>
                    </w:rPr>
                    <w:t>适宜发展方向</w:t>
                  </w:r>
                </w:p>
              </w:tc>
              <w:tc>
                <w:tcPr>
                  <w:tcW w:w="5880" w:type="dxa"/>
                  <w:tcBorders>
                    <w:top w:val="single" w:color="auto" w:sz="4" w:space="0"/>
                    <w:left w:val="single" w:color="auto" w:sz="4" w:space="0"/>
                    <w:bottom w:val="single" w:color="auto" w:sz="4" w:space="0"/>
                    <w:right w:val="single" w:color="auto" w:sz="4" w:space="0"/>
                  </w:tcBorders>
                  <w:vAlign w:val="center"/>
                </w:tcPr>
                <w:p>
                  <w:pPr>
                    <w:pStyle w:val="20"/>
                    <w:rPr>
                      <w:szCs w:val="21"/>
                    </w:rPr>
                  </w:pPr>
                  <w:r>
                    <w:rPr>
                      <w:rFonts w:hint="eastAsia"/>
                      <w:szCs w:val="21"/>
                    </w:rPr>
                    <w:t>合理利用调水资源，发展农区畜牧业，建设人工新绿洲，恢复绿洲外围自然植被</w:t>
                  </w:r>
                </w:p>
              </w:tc>
            </w:tr>
          </w:tbl>
          <w:p>
            <w:pPr>
              <w:adjustRightInd/>
              <w:snapToGrid/>
              <w:ind w:firstLine="480"/>
            </w:pPr>
            <w:r>
              <w:t>本项目为评价井建设工程，项目只有钻井期、试油期，不涉及运营期环境影响；项目建设占用的土地资源相对区域资源利用较少，且为临时用地；项目施工期较短，水、柴油等资源消耗量较少。采取一定的环保措施后，项目产生的废气、废水、噪声等对环境影响较小。项目建设符合《新疆生态功能区划》相关要求。</w:t>
            </w:r>
          </w:p>
          <w:p>
            <w:pPr>
              <w:pStyle w:val="5"/>
              <w:numPr>
                <w:ilvl w:val="2"/>
                <w:numId w:val="0"/>
              </w:numPr>
              <w:adjustRightInd/>
              <w:snapToGrid/>
              <w:textAlignment w:val="baseline"/>
              <w:rPr>
                <w:szCs w:val="24"/>
              </w:rPr>
            </w:pPr>
            <w:r>
              <w:rPr>
                <w:rFonts w:hint="eastAsia"/>
                <w:szCs w:val="24"/>
              </w:rPr>
              <w:t>1</w:t>
            </w:r>
            <w:r>
              <w:rPr>
                <w:szCs w:val="24"/>
              </w:rPr>
              <w:t>.2</w:t>
            </w:r>
            <w:r>
              <w:rPr>
                <w:rFonts w:hint="eastAsia"/>
                <w:szCs w:val="24"/>
              </w:rPr>
              <w:t xml:space="preserve"> </w:t>
            </w:r>
            <w:r>
              <w:rPr>
                <w:szCs w:val="24"/>
              </w:rPr>
              <w:t>植被现状调查与评价</w:t>
            </w:r>
          </w:p>
          <w:p>
            <w:pPr>
              <w:ind w:firstLine="480"/>
            </w:pPr>
            <w:r>
              <w:rPr>
                <w:rFonts w:hint="eastAsia"/>
              </w:rPr>
              <w:t>按中国植被自然地理区划，拟建项目所在区域属北方植物界—新疆荒漠区—北疆荒漠亚区—准噶尔荒漠省—准噶尔荒漠亚省—古尔班通古特沙漠。该区域植物分布在类型上属于荒漠，自然地带性植被类型主要是梭梭荒漠。据调查，油田区域的自然植被受水土环境条件的制约呈现出荒漠景观，区域内仅生长一些盐柴类半灌木、超旱生灌木和小半乔木，种类贫乏、结构简单、覆盖度小。据统计，区域内植物共分5科，10属，12种。主要植被为沙拐枣、梭梭、白梭梭及蒿类等，植被覆盖度在5-10%。</w:t>
            </w:r>
          </w:p>
          <w:p>
            <w:pPr>
              <w:ind w:firstLine="480"/>
            </w:pPr>
            <w:r>
              <w:rPr>
                <w:rFonts w:hint="eastAsia"/>
              </w:rPr>
              <w:t>根据现场勘查，本项目临时占地的井场区域有梭梭及白梭梭零星分布，其覆盖度约5%。</w:t>
            </w:r>
            <w:r>
              <w:rPr>
                <w:kern w:val="0"/>
                <w:lang w:bidi="ar"/>
              </w:rPr>
              <w:t>根据《国家重点保护野生植物名录》（2021）和《新疆维吾尔自治区重点保护野生植物名录（第一批）》（新政办发〔2007〕175号）</w:t>
            </w:r>
            <w:r>
              <w:rPr>
                <w:rFonts w:hint="eastAsia"/>
                <w:kern w:val="0"/>
                <w:lang w:bidi="ar"/>
              </w:rPr>
              <w:t>，</w:t>
            </w:r>
            <w:r>
              <w:rPr>
                <w:rFonts w:hint="eastAsia"/>
              </w:rPr>
              <w:t>梭梭和白梭梭为新疆维吾尔自治区一级保护植物。</w:t>
            </w:r>
          </w:p>
          <w:p>
            <w:pPr>
              <w:pStyle w:val="23"/>
              <w:rPr>
                <w:sz w:val="24"/>
              </w:rPr>
            </w:pPr>
            <w:r>
              <w:rPr>
                <w:rFonts w:hint="eastAsia"/>
                <w:sz w:val="24"/>
              </w:rPr>
              <w:t>1.3 野生动物现状调查与评价</w:t>
            </w:r>
          </w:p>
          <w:p>
            <w:pPr>
              <w:pStyle w:val="23"/>
              <w:ind w:firstLine="480" w:firstLineChars="200"/>
              <w:rPr>
                <w:b w:val="0"/>
                <w:bCs/>
                <w:sz w:val="24"/>
              </w:rPr>
            </w:pPr>
            <w:r>
              <w:rPr>
                <w:b w:val="0"/>
                <w:bCs/>
                <w:sz w:val="24"/>
              </w:rPr>
              <w:t>按中国动物地理区划的分级标准，</w:t>
            </w:r>
            <w:r>
              <w:rPr>
                <w:rFonts w:hint="eastAsia"/>
                <w:b w:val="0"/>
                <w:bCs/>
                <w:sz w:val="24"/>
              </w:rPr>
              <w:t>评价</w:t>
            </w:r>
            <w:r>
              <w:rPr>
                <w:b w:val="0"/>
                <w:bCs/>
                <w:sz w:val="24"/>
              </w:rPr>
              <w:t>区域属古北界、中亚亚界、蒙新区、西部荒漠亚区、准噶尔盆地小区。因该区域地处准噶尔盆地西北缘，气候干燥，按气候区划为酷热干旱区。野生动物的栖息生境极为单一</w:t>
            </w:r>
            <w:r>
              <w:rPr>
                <w:rFonts w:hint="eastAsia"/>
                <w:b w:val="0"/>
                <w:bCs/>
                <w:sz w:val="24"/>
              </w:rPr>
              <w:t>，主要为荒漠</w:t>
            </w:r>
            <w:r>
              <w:rPr>
                <w:b w:val="0"/>
                <w:bCs/>
                <w:sz w:val="24"/>
              </w:rPr>
              <w:t>。</w:t>
            </w:r>
          </w:p>
          <w:p>
            <w:pPr>
              <w:pStyle w:val="23"/>
              <w:ind w:firstLine="480" w:firstLineChars="200"/>
              <w:rPr>
                <w:b w:val="0"/>
                <w:bCs/>
                <w:sz w:val="24"/>
              </w:rPr>
            </w:pPr>
            <w:r>
              <w:rPr>
                <w:b w:val="0"/>
                <w:bCs/>
                <w:sz w:val="24"/>
              </w:rPr>
              <w:t>项目区域内常见有啮齿类、爬行类、鸟类等动物。根据有关调查资料可知，该地区共栖息分布野生脊椎动物</w:t>
            </w:r>
            <w:r>
              <w:rPr>
                <w:rFonts w:hint="eastAsia"/>
                <w:b w:val="0"/>
                <w:bCs/>
                <w:sz w:val="24"/>
              </w:rPr>
              <w:t>16</w:t>
            </w:r>
            <w:r>
              <w:rPr>
                <w:b w:val="0"/>
                <w:bCs/>
                <w:sz w:val="24"/>
              </w:rPr>
              <w:t>种，其中爬行类</w:t>
            </w:r>
            <w:r>
              <w:rPr>
                <w:rFonts w:hint="eastAsia"/>
                <w:b w:val="0"/>
                <w:bCs/>
                <w:sz w:val="24"/>
              </w:rPr>
              <w:t>3</w:t>
            </w:r>
            <w:r>
              <w:rPr>
                <w:b w:val="0"/>
                <w:bCs/>
                <w:sz w:val="24"/>
              </w:rPr>
              <w:t>种，鸟类1</w:t>
            </w:r>
            <w:r>
              <w:rPr>
                <w:rFonts w:hint="eastAsia"/>
                <w:b w:val="0"/>
                <w:bCs/>
                <w:sz w:val="24"/>
              </w:rPr>
              <w:t>0</w:t>
            </w:r>
            <w:r>
              <w:rPr>
                <w:b w:val="0"/>
                <w:bCs/>
                <w:sz w:val="24"/>
              </w:rPr>
              <w:t>种，哺乳动物</w:t>
            </w:r>
            <w:r>
              <w:rPr>
                <w:rFonts w:hint="eastAsia"/>
                <w:b w:val="0"/>
                <w:bCs/>
                <w:sz w:val="24"/>
              </w:rPr>
              <w:t>3</w:t>
            </w:r>
            <w:r>
              <w:rPr>
                <w:b w:val="0"/>
                <w:bCs/>
                <w:sz w:val="24"/>
              </w:rPr>
              <w:t>种，其中爬行类蜥蜴和哺乳类的部分啮齿动物是评价区主要建群种动物。项目区域气候条件恶劣，夏季酷热、冬季严寒、极为干旱，保障野生动物生存的饮水、食物及栖息条件非常有限，再加上区内近年来油气田勘探开发，公路修建，人为活动频繁，所以野生动物种类分布较少，大型哺乳动物种类更少。现场踏勘期间未见野生动物活动踪迹。</w:t>
            </w:r>
          </w:p>
          <w:p>
            <w:pPr>
              <w:pStyle w:val="23"/>
              <w:ind w:firstLine="480" w:firstLineChars="200"/>
              <w:rPr>
                <w:b w:val="0"/>
                <w:bCs/>
                <w:sz w:val="24"/>
              </w:rPr>
            </w:pPr>
            <w:r>
              <w:rPr>
                <w:b w:val="0"/>
                <w:bCs/>
                <w:sz w:val="24"/>
              </w:rPr>
              <w:t>根据现场踏勘</w:t>
            </w:r>
            <w:r>
              <w:rPr>
                <w:rFonts w:hint="eastAsia"/>
                <w:b w:val="0"/>
                <w:bCs/>
                <w:sz w:val="24"/>
              </w:rPr>
              <w:t>以及《国家重点保护野生动物名录》（2021）《新疆维吾尔自治区重点保护野生动物名录》（新林动植字〔2000〕201号）</w:t>
            </w:r>
            <w:r>
              <w:rPr>
                <w:b w:val="0"/>
                <w:bCs/>
                <w:sz w:val="24"/>
              </w:rPr>
              <w:t>可知：项目区内无国家及自治区级保护野生动物出没。</w:t>
            </w:r>
          </w:p>
          <w:p>
            <w:pPr>
              <w:pStyle w:val="5"/>
              <w:numPr>
                <w:ilvl w:val="2"/>
                <w:numId w:val="0"/>
              </w:numPr>
              <w:adjustRightInd/>
              <w:snapToGrid/>
              <w:textAlignment w:val="baseline"/>
              <w:rPr>
                <w:szCs w:val="24"/>
              </w:rPr>
            </w:pPr>
            <w:r>
              <w:rPr>
                <w:rFonts w:hint="eastAsia"/>
                <w:szCs w:val="24"/>
              </w:rPr>
              <w:t>1</w:t>
            </w:r>
            <w:r>
              <w:rPr>
                <w:szCs w:val="24"/>
              </w:rPr>
              <w:t>.</w:t>
            </w:r>
            <w:r>
              <w:rPr>
                <w:rFonts w:hint="eastAsia"/>
                <w:szCs w:val="24"/>
              </w:rPr>
              <w:t xml:space="preserve">4 </w:t>
            </w:r>
            <w:r>
              <w:rPr>
                <w:szCs w:val="24"/>
              </w:rPr>
              <w:t>土壤现状调查与评价</w:t>
            </w:r>
          </w:p>
          <w:p>
            <w:pPr>
              <w:widowControl/>
              <w:ind w:firstLine="480"/>
              <w:jc w:val="left"/>
              <w:rPr>
                <w:rFonts w:ascii="宋体" w:hAnsi="宋体" w:cs="宋体"/>
                <w:kern w:val="0"/>
                <w:lang w:bidi="ar"/>
              </w:rPr>
            </w:pPr>
            <w:r>
              <w:rPr>
                <w:rFonts w:hint="eastAsia" w:ascii="宋体" w:hAnsi="宋体" w:cs="宋体"/>
                <w:kern w:val="0"/>
                <w:lang w:bidi="ar"/>
              </w:rPr>
              <w:t>本工程所在区域土壤类型单一，为灰棕漠土。灰棕漠土是新疆北部地区温带荒漠的地带性土壤，该土类是在北疆温带地区干旱荒漠气候条件和粗骨质（砾质-砂质）成土母质上形成的，其形成和分布与大风的作用密切相关，在大风的作用下，地表细颗粒物质被强大的风力搬运殆尽，留存的砾石和砂粒在风和短暂暴雨的作用下，互相镶嵌形成部分较密实的砾幕，也就是黑褐色的“荒漠漆皮”。因而其生产性能较差，植物生长极少，部分区域甚至为不毛之地。在灰棕漠的形成过程中，生物累积作用很小，土壤表层的有机质含量仅为</w:t>
            </w:r>
            <w:r>
              <w:rPr>
                <w:kern w:val="0"/>
                <w:lang w:bidi="ar"/>
              </w:rPr>
              <w:t>3g</w:t>
            </w:r>
            <w:r>
              <w:rPr>
                <w:rFonts w:hint="eastAsia" w:ascii="宋体" w:hAnsi="宋体" w:cs="宋体"/>
                <w:kern w:val="0"/>
                <w:lang w:bidi="ar"/>
              </w:rPr>
              <w:t>～</w:t>
            </w:r>
            <w:r>
              <w:rPr>
                <w:kern w:val="0"/>
                <w:lang w:bidi="ar"/>
              </w:rPr>
              <w:t>5g/kg</w:t>
            </w:r>
            <w:r>
              <w:rPr>
                <w:rFonts w:hint="eastAsia" w:ascii="宋体" w:hAnsi="宋体" w:cs="宋体"/>
                <w:kern w:val="0"/>
                <w:lang w:bidi="ar"/>
              </w:rPr>
              <w:t>，在剖面中无明显聚积层。</w:t>
            </w:r>
          </w:p>
          <w:p>
            <w:pPr>
              <w:widowControl/>
              <w:ind w:firstLine="480"/>
              <w:jc w:val="left"/>
            </w:pPr>
            <w:r>
              <w:rPr>
                <w:rFonts w:hint="eastAsia" w:ascii="宋体" w:hAnsi="宋体" w:cs="宋体"/>
                <w:kern w:val="0"/>
                <w:lang w:bidi="ar"/>
              </w:rPr>
              <w:t>灰棕漠土为粗骨性母质，细土物质很少，土体非常干燥，地表有一层厚约</w:t>
            </w:r>
            <w:r>
              <w:rPr>
                <w:kern w:val="0"/>
                <w:lang w:bidi="ar"/>
              </w:rPr>
              <w:t>2~3cm</w:t>
            </w:r>
            <w:r>
              <w:rPr>
                <w:rFonts w:hint="eastAsia" w:ascii="宋体" w:hAnsi="宋体" w:cs="宋体"/>
                <w:kern w:val="0"/>
                <w:lang w:bidi="ar"/>
              </w:rPr>
              <w:t>而略带黄灰色的结皮砾幕，混有砾石和碎石；下为浅褐棕色或褐红。棕色、砾质沙壤的不明显层片状层，比较疏松，一般厚约</w:t>
            </w:r>
            <w:r>
              <w:rPr>
                <w:kern w:val="0"/>
                <w:lang w:bidi="ar"/>
              </w:rPr>
              <w:t>8~12cm</w:t>
            </w:r>
            <w:r>
              <w:rPr>
                <w:rFonts w:hint="eastAsia" w:ascii="宋体" w:hAnsi="宋体" w:cs="宋体"/>
                <w:kern w:val="0"/>
                <w:lang w:bidi="ar"/>
              </w:rPr>
              <w:t>；以下开始出现石膏聚积层，大量石膏聚积在</w:t>
            </w:r>
            <w:r>
              <w:rPr>
                <w:kern w:val="0"/>
                <w:lang w:bidi="ar"/>
              </w:rPr>
              <w:t>10~40cm</w:t>
            </w:r>
            <w:r>
              <w:rPr>
                <w:rFonts w:hint="eastAsia" w:ascii="宋体" w:hAnsi="宋体" w:cs="宋体"/>
                <w:kern w:val="0"/>
                <w:lang w:bidi="ar"/>
              </w:rPr>
              <w:t>，甚至接近于地表。</w:t>
            </w:r>
          </w:p>
          <w:p>
            <w:pPr>
              <w:pStyle w:val="23"/>
              <w:rPr>
                <w:sz w:val="24"/>
              </w:rPr>
            </w:pPr>
            <w:r>
              <w:rPr>
                <w:rFonts w:hint="eastAsia"/>
                <w:sz w:val="24"/>
              </w:rPr>
              <w:t>1.5 土地利用现状</w:t>
            </w:r>
          </w:p>
          <w:p>
            <w:pPr>
              <w:widowControl/>
              <w:ind w:firstLine="480"/>
              <w:jc w:val="left"/>
            </w:pPr>
            <w:r>
              <w:rPr>
                <w:rFonts w:hint="eastAsia" w:ascii="宋体" w:hAnsi="宋体" w:cs="宋体"/>
                <w:kern w:val="0"/>
                <w:lang w:bidi="ar"/>
              </w:rPr>
              <w:t>根据遥感调查结果，采用图形叠加法对评价范围内的生态现状进行分析，即将遥感影像与线路进行叠加，并参照《土地利用现状分类》</w:t>
            </w:r>
            <w:r>
              <w:rPr>
                <w:kern w:val="0"/>
                <w:lang w:bidi="ar"/>
              </w:rPr>
              <w:t>(GB/T21010-2017)</w:t>
            </w:r>
            <w:r>
              <w:rPr>
                <w:rFonts w:hint="eastAsia" w:ascii="宋体" w:hAnsi="宋体" w:cs="宋体"/>
                <w:kern w:val="0"/>
                <w:lang w:bidi="ar"/>
              </w:rPr>
              <w:t>，以确定评价范围内的土地利用类型，拟建工程区域内土地利用结构比较单一，土地利用类型为其他草地。工程区内景观生态体系较为脆弱，虽有一定的生产能力但受到干扰以后的恢复能力较弱。</w:t>
            </w:r>
          </w:p>
          <w:p>
            <w:pPr>
              <w:pStyle w:val="23"/>
              <w:rPr>
                <w:sz w:val="24"/>
              </w:rPr>
            </w:pPr>
            <w:r>
              <w:rPr>
                <w:rFonts w:hint="eastAsia"/>
                <w:sz w:val="24"/>
              </w:rPr>
              <w:t>1.6 水土流失现状调查</w:t>
            </w:r>
          </w:p>
          <w:p>
            <w:pPr>
              <w:pStyle w:val="23"/>
              <w:ind w:firstLine="480" w:firstLineChars="200"/>
              <w:rPr>
                <w:b w:val="0"/>
                <w:bCs/>
                <w:sz w:val="24"/>
              </w:rPr>
            </w:pPr>
            <w:r>
              <w:rPr>
                <w:b w:val="0"/>
                <w:bCs/>
                <w:sz w:val="24"/>
              </w:rPr>
              <w:t>本项目位于塔城地区和布克赛尔蒙古自治县，根据《关于印发新疆</w:t>
            </w:r>
            <w:r>
              <w:rPr>
                <w:rFonts w:hint="eastAsia"/>
                <w:b w:val="0"/>
                <w:bCs/>
                <w:sz w:val="24"/>
              </w:rPr>
              <w:t>维吾尔</w:t>
            </w:r>
            <w:r>
              <w:rPr>
                <w:b w:val="0"/>
                <w:bCs/>
                <w:sz w:val="24"/>
              </w:rPr>
              <w:t>自治区级水土流失重点预防区和重点治理区复核划分成果的通知》（新水水保</w:t>
            </w:r>
            <w:r>
              <w:rPr>
                <w:rFonts w:eastAsia="微软雅黑"/>
                <w:b w:val="0"/>
                <w:bCs/>
                <w:sz w:val="24"/>
              </w:rPr>
              <w:t>〔</w:t>
            </w:r>
            <w:r>
              <w:rPr>
                <w:b w:val="0"/>
                <w:bCs/>
                <w:sz w:val="24"/>
              </w:rPr>
              <w:t>2019</w:t>
            </w:r>
            <w:r>
              <w:rPr>
                <w:rFonts w:eastAsia="微软雅黑"/>
                <w:b w:val="0"/>
                <w:bCs/>
                <w:sz w:val="24"/>
              </w:rPr>
              <w:t>〕</w:t>
            </w:r>
            <w:r>
              <w:rPr>
                <w:rStyle w:val="17"/>
                <w:rFonts w:hint="eastAsia" w:cs="Times New Roman"/>
                <w:b w:val="0"/>
                <w:lang w:eastAsia="zh-CN"/>
              </w:rPr>
              <w:t>（</w:t>
            </w:r>
            <w:r>
              <w:rPr>
                <w:rFonts w:hint="default" w:ascii="Times New Roman" w:hAnsi="Times New Roman" w:cs="Times New Roman"/>
                <w:b w:val="0"/>
                <w:bCs/>
                <w:sz w:val="24"/>
              </w:rPr>
              <w:t>号</w:t>
            </w:r>
            <w:r>
              <w:rPr>
                <w:b w:val="0"/>
                <w:bCs/>
                <w:sz w:val="24"/>
              </w:rPr>
              <w:t>），新疆共划分了2个自治区级重点预防区，4个自治区级重点治理区。本项目位于塔城地区和布克赛尔蒙古自治县，属于天山北坡诸小河流域重点治理区。结合项目区地理位置、地形地貌和气候环境特点，确定项目区水土流失类型主要为风力侵蚀。</w:t>
            </w:r>
          </w:p>
          <w:p>
            <w:pPr>
              <w:pStyle w:val="23"/>
              <w:ind w:firstLine="480" w:firstLineChars="200"/>
              <w:rPr>
                <w:b w:val="0"/>
                <w:bCs/>
                <w:sz w:val="24"/>
              </w:rPr>
            </w:pPr>
            <w:r>
              <w:rPr>
                <w:b w:val="0"/>
                <w:bCs/>
                <w:sz w:val="24"/>
              </w:rPr>
              <w:t>根据2018年全疆水土流失动态监测数据成果，和布克赛尔蒙古自治县水土流失面积25229.39km</w:t>
            </w:r>
            <w:r>
              <w:rPr>
                <w:b w:val="0"/>
                <w:bCs/>
                <w:sz w:val="24"/>
                <w:vertAlign w:val="superscript"/>
              </w:rPr>
              <w:t>2</w:t>
            </w:r>
            <w:r>
              <w:rPr>
                <w:b w:val="0"/>
                <w:bCs/>
                <w:sz w:val="24"/>
              </w:rPr>
              <w:t>，占全县土地面积的87.65%。侵蚀类型主要有水力侵蚀、风力侵蚀和冻融侵蚀。其中风力侵蚀面积为25116.66km</w:t>
            </w:r>
            <w:r>
              <w:rPr>
                <w:b w:val="0"/>
                <w:bCs/>
                <w:sz w:val="24"/>
                <w:vertAlign w:val="superscript"/>
              </w:rPr>
              <w:t>2</w:t>
            </w:r>
            <w:r>
              <w:rPr>
                <w:b w:val="0"/>
                <w:bCs/>
                <w:sz w:val="24"/>
              </w:rPr>
              <w:t>，占水土流失面积的99.56%；水力侵蚀面积为110.02km</w:t>
            </w:r>
            <w:r>
              <w:rPr>
                <w:b w:val="0"/>
                <w:bCs/>
                <w:sz w:val="24"/>
                <w:vertAlign w:val="superscript"/>
              </w:rPr>
              <w:t>2</w:t>
            </w:r>
            <w:r>
              <w:rPr>
                <w:b w:val="0"/>
                <w:bCs/>
                <w:sz w:val="24"/>
              </w:rPr>
              <w:t>，占水土流失面积的0.44%；冻融侵蚀面积为1.71km</w:t>
            </w:r>
            <w:r>
              <w:rPr>
                <w:b w:val="0"/>
                <w:bCs/>
                <w:sz w:val="24"/>
                <w:vertAlign w:val="superscript"/>
              </w:rPr>
              <w:t>2</w:t>
            </w:r>
            <w:r>
              <w:rPr>
                <w:b w:val="0"/>
                <w:bCs/>
                <w:sz w:val="24"/>
              </w:rPr>
              <w:t>，占水土流失面积的0.01%。和布克赛尔蒙古自治县沙漠区面积为3862.47km</w:t>
            </w:r>
            <w:r>
              <w:rPr>
                <w:b w:val="0"/>
                <w:bCs/>
                <w:sz w:val="24"/>
                <w:vertAlign w:val="superscript"/>
              </w:rPr>
              <w:t>2</w:t>
            </w:r>
            <w:r>
              <w:rPr>
                <w:b w:val="0"/>
                <w:bCs/>
                <w:sz w:val="24"/>
              </w:rPr>
              <w:t>，其中水土流失面积为3862.47km</w:t>
            </w:r>
            <w:r>
              <w:rPr>
                <w:b w:val="0"/>
                <w:bCs/>
                <w:sz w:val="24"/>
                <w:vertAlign w:val="superscript"/>
              </w:rPr>
              <w:t>2</w:t>
            </w:r>
            <w:r>
              <w:rPr>
                <w:b w:val="0"/>
                <w:bCs/>
                <w:sz w:val="24"/>
              </w:rPr>
              <w:t>，主要为风力侵蚀。沙漠区侵蚀强度主要以轻度为主，占沙漠区侵蚀面积的86.23%。通过测算沙漠区每年土壤侵蚀量为586.41万t。</w:t>
            </w:r>
          </w:p>
          <w:p>
            <w:pPr>
              <w:pStyle w:val="23"/>
              <w:rPr>
                <w:snapToGrid w:val="0"/>
                <w:kern w:val="0"/>
                <w:sz w:val="24"/>
              </w:rPr>
            </w:pPr>
            <w:r>
              <w:rPr>
                <w:rFonts w:hint="eastAsia"/>
                <w:snapToGrid w:val="0"/>
                <w:kern w:val="0"/>
                <w:sz w:val="24"/>
              </w:rPr>
              <w:t>1</w:t>
            </w:r>
            <w:r>
              <w:rPr>
                <w:snapToGrid w:val="0"/>
                <w:kern w:val="0"/>
                <w:sz w:val="24"/>
              </w:rPr>
              <w:t>.</w:t>
            </w:r>
            <w:r>
              <w:rPr>
                <w:rFonts w:hint="eastAsia"/>
                <w:snapToGrid w:val="0"/>
                <w:kern w:val="0"/>
                <w:sz w:val="24"/>
              </w:rPr>
              <w:t xml:space="preserve">7 </w:t>
            </w:r>
            <w:r>
              <w:rPr>
                <w:snapToGrid w:val="0"/>
                <w:kern w:val="0"/>
                <w:sz w:val="24"/>
              </w:rPr>
              <w:t>土地沙化现状</w:t>
            </w:r>
          </w:p>
          <w:p>
            <w:pPr>
              <w:pStyle w:val="23"/>
              <w:ind w:firstLine="480" w:firstLineChars="200"/>
              <w:jc w:val="both"/>
              <w:rPr>
                <w:snapToGrid w:val="0"/>
                <w:kern w:val="0"/>
                <w:sz w:val="24"/>
              </w:rPr>
            </w:pPr>
            <w:r>
              <w:rPr>
                <w:b w:val="0"/>
                <w:bCs/>
                <w:snapToGrid w:val="0"/>
                <w:kern w:val="0"/>
                <w:sz w:val="24"/>
              </w:rPr>
              <w:t>本项目位于古尔班通古特沙漠西部。古尔班通古特沙漠面积48695平方千米</w:t>
            </w:r>
            <w:r>
              <w:rPr>
                <w:rFonts w:hint="eastAsia"/>
                <w:b w:val="0"/>
                <w:bCs/>
                <w:snapToGrid w:val="0"/>
                <w:kern w:val="0"/>
                <w:sz w:val="24"/>
              </w:rPr>
              <w:t>，</w:t>
            </w:r>
            <w:r>
              <w:rPr>
                <w:b w:val="0"/>
                <w:bCs/>
                <w:snapToGrid w:val="0"/>
                <w:kern w:val="0"/>
                <w:sz w:val="24"/>
              </w:rPr>
              <w:t>占全疆沙漠的11.05%；是我国第二大沙漠，也是我国最大的固定、半固定沙漠。主要由四片沙漠组成，奇台以东为霍景涅里辛沙漠，中部为德佐索腾艾里松沙漠，分布在三个泉干谷以南，西部是索布古尔布格莱沙漠，北部是阔布什和阿克库姆沙漠。沙漠中的沙化土地面积4666222.99hm</w:t>
            </w:r>
            <w:r>
              <w:rPr>
                <w:b w:val="0"/>
                <w:bCs/>
                <w:snapToGrid w:val="0"/>
                <w:kern w:val="0"/>
                <w:sz w:val="24"/>
                <w:vertAlign w:val="superscript"/>
              </w:rPr>
              <w:t>2</w:t>
            </w:r>
            <w:r>
              <w:rPr>
                <w:b w:val="0"/>
                <w:bCs/>
                <w:snapToGrid w:val="0"/>
                <w:kern w:val="0"/>
                <w:sz w:val="24"/>
              </w:rPr>
              <w:t>，其中：沙质土地4532361.18hm</w:t>
            </w:r>
            <w:r>
              <w:rPr>
                <w:b w:val="0"/>
                <w:bCs/>
                <w:snapToGrid w:val="0"/>
                <w:kern w:val="0"/>
                <w:sz w:val="24"/>
                <w:vertAlign w:val="superscript"/>
              </w:rPr>
              <w:t>2</w:t>
            </w:r>
            <w:r>
              <w:rPr>
                <w:b w:val="0"/>
                <w:bCs/>
                <w:snapToGrid w:val="0"/>
                <w:kern w:val="0"/>
                <w:sz w:val="24"/>
              </w:rPr>
              <w:t>。沙质土地中，流动沙地38997.61hm</w:t>
            </w:r>
            <w:r>
              <w:rPr>
                <w:b w:val="0"/>
                <w:bCs/>
                <w:snapToGrid w:val="0"/>
                <w:kern w:val="0"/>
                <w:sz w:val="24"/>
                <w:vertAlign w:val="superscript"/>
              </w:rPr>
              <w:t>2</w:t>
            </w:r>
            <w:r>
              <w:rPr>
                <w:b w:val="0"/>
                <w:bCs/>
                <w:snapToGrid w:val="0"/>
                <w:kern w:val="0"/>
                <w:sz w:val="24"/>
              </w:rPr>
              <w:t>，半固定沙地1215775.51hm</w:t>
            </w:r>
            <w:r>
              <w:rPr>
                <w:b w:val="0"/>
                <w:bCs/>
                <w:snapToGrid w:val="0"/>
                <w:kern w:val="0"/>
                <w:sz w:val="24"/>
                <w:vertAlign w:val="superscript"/>
              </w:rPr>
              <w:t>2</w:t>
            </w:r>
            <w:r>
              <w:rPr>
                <w:b w:val="0"/>
                <w:bCs/>
                <w:snapToGrid w:val="0"/>
                <w:kern w:val="0"/>
                <w:sz w:val="24"/>
              </w:rPr>
              <w:t>，固定沙地3223187.31hm</w:t>
            </w:r>
            <w:r>
              <w:rPr>
                <w:b w:val="0"/>
                <w:bCs/>
                <w:snapToGrid w:val="0"/>
                <w:kern w:val="0"/>
                <w:sz w:val="24"/>
                <w:vertAlign w:val="superscript"/>
              </w:rPr>
              <w:t>2</w:t>
            </w:r>
            <w:r>
              <w:rPr>
                <w:b w:val="0"/>
                <w:bCs/>
                <w:snapToGrid w:val="0"/>
                <w:kern w:val="0"/>
                <w:sz w:val="24"/>
              </w:rPr>
              <w:t>，沙化耕地54400.75hm</w:t>
            </w:r>
            <w:r>
              <w:rPr>
                <w:b w:val="0"/>
                <w:bCs/>
                <w:snapToGrid w:val="0"/>
                <w:kern w:val="0"/>
                <w:sz w:val="24"/>
                <w:vertAlign w:val="superscript"/>
              </w:rPr>
              <w:t>2</w:t>
            </w:r>
            <w:r>
              <w:rPr>
                <w:b w:val="0"/>
                <w:bCs/>
                <w:snapToGrid w:val="0"/>
                <w:kern w:val="0"/>
                <w:sz w:val="24"/>
              </w:rPr>
              <w:t>。</w:t>
            </w:r>
          </w:p>
          <w:p>
            <w:pPr>
              <w:tabs>
                <w:tab w:val="center" w:pos="4041"/>
              </w:tabs>
              <w:adjustRightInd/>
              <w:snapToGrid/>
              <w:ind w:firstLine="480"/>
              <w:outlineLvl w:val="2"/>
              <w:rPr>
                <w:bCs/>
                <w:snapToGrid w:val="0"/>
                <w:kern w:val="0"/>
              </w:rPr>
            </w:pPr>
            <w:r>
              <w:rPr>
                <w:rFonts w:hint="eastAsia"/>
                <w:bCs/>
                <w:snapToGrid w:val="0"/>
                <w:kern w:val="0"/>
              </w:rPr>
              <w:t>项目所在区域塔城地区和布克赛尔蒙古自治县属于新疆自治区级水土流失重点治理区：II2天山北坡诸小河流域重点治理区，该区总面积为90496km</w:t>
            </w:r>
            <w:r>
              <w:rPr>
                <w:rFonts w:hint="eastAsia"/>
                <w:bCs/>
                <w:snapToGrid w:val="0"/>
                <w:kern w:val="0"/>
                <w:vertAlign w:val="superscript"/>
              </w:rPr>
              <w:t>2</w:t>
            </w:r>
            <w:r>
              <w:rPr>
                <w:rFonts w:hint="eastAsia"/>
                <w:bCs/>
                <w:snapToGrid w:val="0"/>
                <w:kern w:val="0"/>
              </w:rPr>
              <w:t>。根据评价区土地利用现状，结合现场调查地形地貌及植被覆盖程度，分析评价区域土地荒漠化现状。</w:t>
            </w:r>
          </w:p>
          <w:p>
            <w:pPr>
              <w:tabs>
                <w:tab w:val="center" w:pos="4041"/>
              </w:tabs>
              <w:adjustRightInd/>
              <w:snapToGrid/>
              <w:ind w:firstLine="480"/>
              <w:outlineLvl w:val="2"/>
              <w:rPr>
                <w:bCs/>
                <w:snapToGrid w:val="0"/>
                <w:kern w:val="0"/>
              </w:rPr>
            </w:pPr>
            <w:r>
              <w:rPr>
                <w:rFonts w:hint="eastAsia"/>
                <w:bCs/>
                <w:snapToGrid w:val="0"/>
                <w:kern w:val="0"/>
              </w:rPr>
              <w:t>根据《新疆第五次沙化土地监测报告》，本项目位于古尔班通古特沙漠西北部边缘，项目所在区域属于风蚀荒漠化未利用地中的戈壁，该地区有一定量的野生植被，生态荒漠生态系统较为稳定，不属于沙地。</w:t>
            </w:r>
            <w:bookmarkStart w:id="25" w:name="_Toc2751"/>
          </w:p>
          <w:p>
            <w:pPr>
              <w:tabs>
                <w:tab w:val="center" w:pos="4041"/>
              </w:tabs>
              <w:adjustRightInd/>
              <w:snapToGrid/>
              <w:ind w:firstLine="0" w:firstLineChars="0"/>
              <w:outlineLvl w:val="2"/>
              <w:rPr>
                <w:b/>
                <w:bCs/>
                <w:sz w:val="28"/>
                <w:szCs w:val="28"/>
              </w:rPr>
            </w:pPr>
            <w:r>
              <w:rPr>
                <w:rFonts w:hint="eastAsia"/>
                <w:b/>
                <w:bCs/>
                <w:sz w:val="28"/>
                <w:szCs w:val="28"/>
              </w:rPr>
              <w:t>2</w:t>
            </w:r>
            <w:r>
              <w:rPr>
                <w:b/>
                <w:bCs/>
                <w:sz w:val="28"/>
                <w:szCs w:val="28"/>
              </w:rPr>
              <w:t xml:space="preserve"> 区域环境质量现状</w:t>
            </w:r>
            <w:bookmarkEnd w:id="25"/>
          </w:p>
          <w:p>
            <w:pPr>
              <w:pStyle w:val="19"/>
            </w:pPr>
            <w:r>
              <w:rPr>
                <w:rFonts w:hint="eastAsia"/>
              </w:rPr>
              <w:t>2</w:t>
            </w:r>
            <w:r>
              <w:t>.1</w:t>
            </w:r>
            <w:bookmarkStart w:id="26" w:name="_Hlk79506732"/>
            <w:r>
              <w:rPr>
                <w:rFonts w:hint="eastAsia"/>
              </w:rPr>
              <w:t xml:space="preserve"> </w:t>
            </w:r>
            <w:r>
              <w:t>环境空气质量现状调查与评价</w:t>
            </w:r>
            <w:bookmarkEnd w:id="26"/>
          </w:p>
          <w:p>
            <w:pPr>
              <w:pStyle w:val="25"/>
              <w:adjustRightInd/>
              <w:snapToGrid/>
              <w:ind w:firstLine="480"/>
              <w:jc w:val="both"/>
              <w:rPr>
                <w:rFonts w:ascii="Times New Roman" w:hAnsi="Times New Roman" w:cs="Times New Roman"/>
                <w:lang w:val="en-US"/>
              </w:rPr>
            </w:pPr>
            <w:r>
              <w:rPr>
                <w:rFonts w:ascii="Times New Roman" w:hAnsi="Times New Roman" w:cs="Times New Roman"/>
                <w:lang w:val="en-US"/>
              </w:rPr>
              <w:t>本项目隶属于塔城地区和布克赛尔蒙古自治县。根据中华人民共和国生态环境部环境工程评估中心发布的“环境空气质量模型技术支持服务系统”中塔城地区202</w:t>
            </w:r>
            <w:r>
              <w:rPr>
                <w:rFonts w:hint="eastAsia" w:ascii="Times New Roman" w:hAnsi="Times New Roman" w:cs="Times New Roman"/>
                <w:lang w:val="en-US"/>
              </w:rPr>
              <w:t>1</w:t>
            </w:r>
            <w:r>
              <w:rPr>
                <w:rFonts w:ascii="Times New Roman" w:hAnsi="Times New Roman" w:cs="Times New Roman"/>
                <w:lang w:val="en-US"/>
              </w:rPr>
              <w:t>年环境质量监测数据来判定项目区环境质量达标情况，具体监测数据及评价结果详见表3-</w:t>
            </w:r>
            <w:r>
              <w:rPr>
                <w:rFonts w:hint="eastAsia" w:ascii="Times New Roman" w:hAnsi="Times New Roman" w:cs="Times New Roman"/>
                <w:lang w:val="en-US"/>
              </w:rPr>
              <w:t>2</w:t>
            </w:r>
            <w:r>
              <w:rPr>
                <w:rFonts w:ascii="Times New Roman" w:hAnsi="Times New Roman" w:cs="Times New Roman"/>
                <w:lang w:val="en-US"/>
              </w:rPr>
              <w:t>。</w:t>
            </w:r>
          </w:p>
          <w:p>
            <w:pPr>
              <w:widowControl/>
              <w:adjustRightInd/>
              <w:snapToGrid/>
              <w:ind w:firstLine="422"/>
              <w:jc w:val="center"/>
              <w:rPr>
                <w:b/>
                <w:bCs/>
              </w:rPr>
            </w:pPr>
            <w:r>
              <w:rPr>
                <w:b/>
                <w:bCs/>
                <w:sz w:val="21"/>
                <w:szCs w:val="21"/>
              </w:rPr>
              <w:t>表3-</w:t>
            </w:r>
            <w:r>
              <w:rPr>
                <w:rFonts w:hint="eastAsia"/>
                <w:b/>
                <w:bCs/>
                <w:sz w:val="21"/>
                <w:szCs w:val="21"/>
              </w:rPr>
              <w:t>2</w:t>
            </w:r>
            <w:r>
              <w:rPr>
                <w:b/>
                <w:bCs/>
                <w:sz w:val="21"/>
                <w:szCs w:val="21"/>
              </w:rPr>
              <w:t xml:space="preserve">  塔城地区202</w:t>
            </w:r>
            <w:r>
              <w:rPr>
                <w:rFonts w:hint="eastAsia"/>
                <w:b/>
                <w:bCs/>
                <w:sz w:val="21"/>
                <w:szCs w:val="21"/>
              </w:rPr>
              <w:t>1</w:t>
            </w:r>
            <w:r>
              <w:rPr>
                <w:b/>
                <w:bCs/>
                <w:sz w:val="21"/>
                <w:szCs w:val="21"/>
              </w:rPr>
              <w:t>年空气质量现状评价表   （单位：μg/m</w:t>
            </w:r>
            <w:r>
              <w:rPr>
                <w:b/>
                <w:bCs/>
                <w:sz w:val="21"/>
                <w:szCs w:val="21"/>
                <w:vertAlign w:val="superscript"/>
              </w:rPr>
              <w:t>3</w:t>
            </w:r>
            <w:r>
              <w:rPr>
                <w:b/>
                <w:bCs/>
                <w:sz w:val="21"/>
                <w:szCs w:val="21"/>
              </w:rPr>
              <w:t>）</w:t>
            </w:r>
          </w:p>
          <w:tbl>
            <w:tblPr>
              <w:tblStyle w:val="14"/>
              <w:tblW w:w="787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05"/>
              <w:gridCol w:w="1541"/>
              <w:gridCol w:w="1023"/>
              <w:gridCol w:w="1116"/>
              <w:gridCol w:w="1060"/>
              <w:gridCol w:w="1015"/>
              <w:gridCol w:w="101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2" w:hRule="atLeast"/>
                <w:jc w:val="center"/>
              </w:trPr>
              <w:tc>
                <w:tcPr>
                  <w:tcW w:w="1105" w:type="dxa"/>
                  <w:vAlign w:val="center"/>
                </w:tcPr>
                <w:p>
                  <w:pPr>
                    <w:spacing w:line="240" w:lineRule="auto"/>
                    <w:ind w:firstLine="0" w:firstLineChars="0"/>
                    <w:jc w:val="center"/>
                    <w:rPr>
                      <w:b/>
                      <w:bCs/>
                      <w:sz w:val="21"/>
                      <w:szCs w:val="21"/>
                    </w:rPr>
                  </w:pPr>
                  <w:r>
                    <w:rPr>
                      <w:b/>
                      <w:bCs/>
                      <w:sz w:val="21"/>
                      <w:szCs w:val="21"/>
                    </w:rPr>
                    <w:t>项目</w:t>
                  </w:r>
                </w:p>
              </w:tc>
              <w:tc>
                <w:tcPr>
                  <w:tcW w:w="1541" w:type="dxa"/>
                  <w:vAlign w:val="center"/>
                </w:tcPr>
                <w:p>
                  <w:pPr>
                    <w:spacing w:line="240" w:lineRule="auto"/>
                    <w:ind w:firstLine="0" w:firstLineChars="0"/>
                    <w:jc w:val="center"/>
                    <w:rPr>
                      <w:b/>
                      <w:bCs/>
                      <w:sz w:val="21"/>
                      <w:szCs w:val="21"/>
                    </w:rPr>
                  </w:pPr>
                  <w:r>
                    <w:rPr>
                      <w:b/>
                      <w:bCs/>
                      <w:sz w:val="21"/>
                      <w:szCs w:val="21"/>
                    </w:rPr>
                    <w:t>平均时段</w:t>
                  </w:r>
                </w:p>
              </w:tc>
              <w:tc>
                <w:tcPr>
                  <w:tcW w:w="1023" w:type="dxa"/>
                  <w:vAlign w:val="center"/>
                </w:tcPr>
                <w:p>
                  <w:pPr>
                    <w:spacing w:line="240" w:lineRule="auto"/>
                    <w:ind w:firstLine="0" w:firstLineChars="0"/>
                    <w:jc w:val="center"/>
                    <w:rPr>
                      <w:b/>
                      <w:bCs/>
                      <w:sz w:val="21"/>
                      <w:szCs w:val="21"/>
                    </w:rPr>
                  </w:pPr>
                  <w:r>
                    <w:rPr>
                      <w:b/>
                      <w:bCs/>
                      <w:sz w:val="21"/>
                      <w:szCs w:val="21"/>
                    </w:rPr>
                    <w:t>现状浓度</w:t>
                  </w:r>
                </w:p>
              </w:tc>
              <w:tc>
                <w:tcPr>
                  <w:tcW w:w="1116" w:type="dxa"/>
                  <w:vAlign w:val="center"/>
                </w:tcPr>
                <w:p>
                  <w:pPr>
                    <w:spacing w:line="240" w:lineRule="auto"/>
                    <w:ind w:firstLine="0" w:firstLineChars="0"/>
                    <w:jc w:val="center"/>
                    <w:rPr>
                      <w:b/>
                      <w:bCs/>
                      <w:sz w:val="21"/>
                      <w:szCs w:val="21"/>
                    </w:rPr>
                  </w:pPr>
                  <w:r>
                    <w:rPr>
                      <w:b/>
                      <w:bCs/>
                      <w:sz w:val="21"/>
                      <w:szCs w:val="21"/>
                    </w:rPr>
                    <w:t>标准值</w:t>
                  </w:r>
                </w:p>
              </w:tc>
              <w:tc>
                <w:tcPr>
                  <w:tcW w:w="1060" w:type="dxa"/>
                  <w:tcBorders>
                    <w:right w:val="single" w:color="auto" w:sz="4" w:space="0"/>
                  </w:tcBorders>
                  <w:vAlign w:val="center"/>
                </w:tcPr>
                <w:p>
                  <w:pPr>
                    <w:spacing w:line="240" w:lineRule="auto"/>
                    <w:ind w:firstLine="0" w:firstLineChars="0"/>
                    <w:jc w:val="center"/>
                    <w:rPr>
                      <w:b/>
                      <w:bCs/>
                      <w:sz w:val="21"/>
                      <w:szCs w:val="21"/>
                    </w:rPr>
                  </w:pPr>
                  <w:r>
                    <w:rPr>
                      <w:b/>
                      <w:bCs/>
                      <w:sz w:val="21"/>
                      <w:szCs w:val="21"/>
                    </w:rPr>
                    <w:t>占标率（%）</w:t>
                  </w:r>
                </w:p>
              </w:tc>
              <w:tc>
                <w:tcPr>
                  <w:tcW w:w="1015" w:type="dxa"/>
                  <w:tcBorders>
                    <w:left w:val="single" w:color="auto" w:sz="4" w:space="0"/>
                  </w:tcBorders>
                  <w:vAlign w:val="center"/>
                </w:tcPr>
                <w:p>
                  <w:pPr>
                    <w:spacing w:line="240" w:lineRule="auto"/>
                    <w:ind w:firstLine="0" w:firstLineChars="0"/>
                    <w:jc w:val="center"/>
                    <w:rPr>
                      <w:b/>
                      <w:bCs/>
                      <w:sz w:val="21"/>
                      <w:szCs w:val="21"/>
                    </w:rPr>
                  </w:pPr>
                  <w:r>
                    <w:rPr>
                      <w:b/>
                      <w:bCs/>
                      <w:sz w:val="21"/>
                      <w:szCs w:val="21"/>
                    </w:rPr>
                    <w:t>超标倍数</w:t>
                  </w:r>
                </w:p>
              </w:tc>
              <w:tc>
                <w:tcPr>
                  <w:tcW w:w="1018" w:type="dxa"/>
                  <w:vAlign w:val="center"/>
                </w:tcPr>
                <w:p>
                  <w:pPr>
                    <w:spacing w:line="240" w:lineRule="auto"/>
                    <w:ind w:firstLine="0" w:firstLineChars="0"/>
                    <w:jc w:val="center"/>
                    <w:rPr>
                      <w:b/>
                      <w:bCs/>
                      <w:sz w:val="21"/>
                      <w:szCs w:val="21"/>
                    </w:rPr>
                  </w:pPr>
                  <w:r>
                    <w:rPr>
                      <w:b/>
                      <w:bCs/>
                      <w:sz w:val="21"/>
                      <w:szCs w:val="21"/>
                    </w:rPr>
                    <w:t>达标情况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8" w:hRule="atLeast"/>
                <w:jc w:val="center"/>
              </w:trPr>
              <w:tc>
                <w:tcPr>
                  <w:tcW w:w="1105" w:type="dxa"/>
                  <w:vAlign w:val="center"/>
                </w:tcPr>
                <w:p>
                  <w:pPr>
                    <w:spacing w:line="240" w:lineRule="auto"/>
                    <w:ind w:firstLine="0" w:firstLineChars="0"/>
                    <w:jc w:val="center"/>
                    <w:rPr>
                      <w:sz w:val="21"/>
                      <w:szCs w:val="21"/>
                    </w:rPr>
                  </w:pPr>
                  <w:r>
                    <w:rPr>
                      <w:sz w:val="21"/>
                      <w:szCs w:val="21"/>
                    </w:rPr>
                    <w:t>SO</w:t>
                  </w:r>
                  <w:r>
                    <w:rPr>
                      <w:sz w:val="21"/>
                      <w:szCs w:val="21"/>
                      <w:vertAlign w:val="subscript"/>
                    </w:rPr>
                    <w:t>2</w:t>
                  </w:r>
                </w:p>
              </w:tc>
              <w:tc>
                <w:tcPr>
                  <w:tcW w:w="1541" w:type="dxa"/>
                  <w:vAlign w:val="center"/>
                </w:tcPr>
                <w:p>
                  <w:pPr>
                    <w:spacing w:line="240" w:lineRule="auto"/>
                    <w:ind w:firstLine="0" w:firstLineChars="0"/>
                    <w:jc w:val="center"/>
                    <w:rPr>
                      <w:sz w:val="21"/>
                      <w:szCs w:val="21"/>
                    </w:rPr>
                  </w:pPr>
                  <w:r>
                    <w:rPr>
                      <w:sz w:val="21"/>
                      <w:szCs w:val="21"/>
                    </w:rPr>
                    <w:t>年平均</w:t>
                  </w:r>
                </w:p>
              </w:tc>
              <w:tc>
                <w:tcPr>
                  <w:tcW w:w="1023" w:type="dxa"/>
                  <w:vAlign w:val="center"/>
                </w:tcPr>
                <w:p>
                  <w:pPr>
                    <w:spacing w:line="240" w:lineRule="auto"/>
                    <w:ind w:firstLine="0" w:firstLineChars="0"/>
                    <w:jc w:val="center"/>
                    <w:rPr>
                      <w:sz w:val="21"/>
                      <w:szCs w:val="21"/>
                    </w:rPr>
                  </w:pPr>
                  <w:r>
                    <w:rPr>
                      <w:rFonts w:hint="eastAsia"/>
                      <w:sz w:val="21"/>
                      <w:szCs w:val="21"/>
                    </w:rPr>
                    <w:t>5</w:t>
                  </w:r>
                </w:p>
              </w:tc>
              <w:tc>
                <w:tcPr>
                  <w:tcW w:w="1116" w:type="dxa"/>
                  <w:vAlign w:val="center"/>
                </w:tcPr>
                <w:p>
                  <w:pPr>
                    <w:spacing w:line="240" w:lineRule="auto"/>
                    <w:ind w:firstLine="0" w:firstLineChars="0"/>
                    <w:jc w:val="center"/>
                    <w:rPr>
                      <w:sz w:val="21"/>
                      <w:szCs w:val="21"/>
                    </w:rPr>
                  </w:pPr>
                  <w:r>
                    <w:rPr>
                      <w:sz w:val="21"/>
                      <w:szCs w:val="21"/>
                    </w:rPr>
                    <w:t>60</w:t>
                  </w:r>
                </w:p>
              </w:tc>
              <w:tc>
                <w:tcPr>
                  <w:tcW w:w="1060" w:type="dxa"/>
                  <w:tcBorders>
                    <w:right w:val="single" w:color="auto" w:sz="4" w:space="0"/>
                  </w:tcBorders>
                  <w:vAlign w:val="center"/>
                </w:tcPr>
                <w:p>
                  <w:pPr>
                    <w:spacing w:line="240" w:lineRule="auto"/>
                    <w:ind w:firstLine="0" w:firstLineChars="0"/>
                    <w:jc w:val="center"/>
                    <w:rPr>
                      <w:sz w:val="21"/>
                      <w:szCs w:val="21"/>
                    </w:rPr>
                  </w:pPr>
                  <w:r>
                    <w:rPr>
                      <w:rFonts w:hint="eastAsia"/>
                      <w:sz w:val="21"/>
                      <w:szCs w:val="21"/>
                    </w:rPr>
                    <w:t>8.33</w:t>
                  </w:r>
                </w:p>
              </w:tc>
              <w:tc>
                <w:tcPr>
                  <w:tcW w:w="1015" w:type="dxa"/>
                  <w:tcBorders>
                    <w:left w:val="single" w:color="auto" w:sz="4" w:space="0"/>
                  </w:tcBorders>
                  <w:vAlign w:val="center"/>
                </w:tcPr>
                <w:p>
                  <w:pPr>
                    <w:spacing w:line="240" w:lineRule="auto"/>
                    <w:ind w:firstLine="420"/>
                    <w:rPr>
                      <w:sz w:val="21"/>
                      <w:szCs w:val="21"/>
                    </w:rPr>
                  </w:pPr>
                  <w:r>
                    <w:rPr>
                      <w:sz w:val="21"/>
                      <w:szCs w:val="21"/>
                    </w:rPr>
                    <w:t>/</w:t>
                  </w:r>
                </w:p>
              </w:tc>
              <w:tc>
                <w:tcPr>
                  <w:tcW w:w="1018" w:type="dxa"/>
                  <w:vAlign w:val="center"/>
                </w:tcPr>
                <w:p>
                  <w:pPr>
                    <w:spacing w:line="240" w:lineRule="auto"/>
                    <w:ind w:firstLine="0" w:firstLineChars="0"/>
                    <w:jc w:val="center"/>
                    <w:rPr>
                      <w:sz w:val="21"/>
                      <w:szCs w:val="21"/>
                    </w:rPr>
                  </w:pPr>
                  <w:r>
                    <w:rPr>
                      <w:sz w:val="21"/>
                      <w:szCs w:val="21"/>
                    </w:rPr>
                    <w:t>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8" w:hRule="atLeast"/>
                <w:jc w:val="center"/>
              </w:trPr>
              <w:tc>
                <w:tcPr>
                  <w:tcW w:w="1105" w:type="dxa"/>
                  <w:vAlign w:val="center"/>
                </w:tcPr>
                <w:p>
                  <w:pPr>
                    <w:spacing w:line="240" w:lineRule="auto"/>
                    <w:ind w:firstLine="0" w:firstLineChars="0"/>
                    <w:jc w:val="center"/>
                    <w:rPr>
                      <w:sz w:val="21"/>
                      <w:szCs w:val="21"/>
                    </w:rPr>
                  </w:pPr>
                  <w:r>
                    <w:rPr>
                      <w:sz w:val="21"/>
                      <w:szCs w:val="21"/>
                    </w:rPr>
                    <w:t>NO</w:t>
                  </w:r>
                  <w:r>
                    <w:rPr>
                      <w:sz w:val="21"/>
                      <w:szCs w:val="21"/>
                      <w:vertAlign w:val="subscript"/>
                    </w:rPr>
                    <w:t>2</w:t>
                  </w:r>
                </w:p>
              </w:tc>
              <w:tc>
                <w:tcPr>
                  <w:tcW w:w="1541" w:type="dxa"/>
                  <w:vAlign w:val="center"/>
                </w:tcPr>
                <w:p>
                  <w:pPr>
                    <w:spacing w:line="240" w:lineRule="auto"/>
                    <w:ind w:firstLine="0" w:firstLineChars="0"/>
                    <w:jc w:val="center"/>
                    <w:rPr>
                      <w:sz w:val="21"/>
                      <w:szCs w:val="21"/>
                    </w:rPr>
                  </w:pPr>
                  <w:r>
                    <w:rPr>
                      <w:sz w:val="21"/>
                      <w:szCs w:val="21"/>
                    </w:rPr>
                    <w:t>年平均</w:t>
                  </w:r>
                </w:p>
              </w:tc>
              <w:tc>
                <w:tcPr>
                  <w:tcW w:w="1023" w:type="dxa"/>
                  <w:vAlign w:val="center"/>
                </w:tcPr>
                <w:p>
                  <w:pPr>
                    <w:spacing w:line="240" w:lineRule="auto"/>
                    <w:ind w:firstLine="0" w:firstLineChars="0"/>
                    <w:jc w:val="center"/>
                    <w:rPr>
                      <w:sz w:val="21"/>
                      <w:szCs w:val="21"/>
                    </w:rPr>
                  </w:pPr>
                  <w:r>
                    <w:rPr>
                      <w:rFonts w:hint="eastAsia"/>
                      <w:sz w:val="21"/>
                      <w:szCs w:val="21"/>
                    </w:rPr>
                    <w:t>11</w:t>
                  </w:r>
                </w:p>
              </w:tc>
              <w:tc>
                <w:tcPr>
                  <w:tcW w:w="1116" w:type="dxa"/>
                  <w:vAlign w:val="center"/>
                </w:tcPr>
                <w:p>
                  <w:pPr>
                    <w:spacing w:line="240" w:lineRule="auto"/>
                    <w:ind w:firstLine="0" w:firstLineChars="0"/>
                    <w:jc w:val="center"/>
                    <w:rPr>
                      <w:sz w:val="21"/>
                      <w:szCs w:val="21"/>
                    </w:rPr>
                  </w:pPr>
                  <w:r>
                    <w:rPr>
                      <w:sz w:val="21"/>
                      <w:szCs w:val="21"/>
                    </w:rPr>
                    <w:t>40</w:t>
                  </w:r>
                </w:p>
              </w:tc>
              <w:tc>
                <w:tcPr>
                  <w:tcW w:w="1060" w:type="dxa"/>
                  <w:tcBorders>
                    <w:right w:val="single" w:color="auto" w:sz="4" w:space="0"/>
                  </w:tcBorders>
                  <w:vAlign w:val="center"/>
                </w:tcPr>
                <w:p>
                  <w:pPr>
                    <w:spacing w:line="240" w:lineRule="auto"/>
                    <w:ind w:firstLine="0" w:firstLineChars="0"/>
                    <w:jc w:val="center"/>
                    <w:rPr>
                      <w:sz w:val="21"/>
                      <w:szCs w:val="21"/>
                    </w:rPr>
                  </w:pPr>
                  <w:r>
                    <w:rPr>
                      <w:sz w:val="21"/>
                      <w:szCs w:val="21"/>
                    </w:rPr>
                    <w:t>2</w:t>
                  </w:r>
                  <w:r>
                    <w:rPr>
                      <w:rFonts w:hint="eastAsia"/>
                      <w:sz w:val="21"/>
                      <w:szCs w:val="21"/>
                    </w:rPr>
                    <w:t>7.5</w:t>
                  </w:r>
                </w:p>
              </w:tc>
              <w:tc>
                <w:tcPr>
                  <w:tcW w:w="1015" w:type="dxa"/>
                  <w:tcBorders>
                    <w:left w:val="single" w:color="auto" w:sz="4" w:space="0"/>
                  </w:tcBorders>
                  <w:vAlign w:val="center"/>
                </w:tcPr>
                <w:p>
                  <w:pPr>
                    <w:spacing w:line="240" w:lineRule="auto"/>
                    <w:ind w:firstLine="420"/>
                    <w:rPr>
                      <w:sz w:val="21"/>
                      <w:szCs w:val="21"/>
                    </w:rPr>
                  </w:pPr>
                  <w:r>
                    <w:rPr>
                      <w:sz w:val="21"/>
                      <w:szCs w:val="21"/>
                    </w:rPr>
                    <w:t>/</w:t>
                  </w:r>
                </w:p>
              </w:tc>
              <w:tc>
                <w:tcPr>
                  <w:tcW w:w="1018" w:type="dxa"/>
                  <w:vAlign w:val="center"/>
                </w:tcPr>
                <w:p>
                  <w:pPr>
                    <w:spacing w:line="240" w:lineRule="auto"/>
                    <w:ind w:firstLine="0" w:firstLineChars="0"/>
                    <w:jc w:val="center"/>
                    <w:rPr>
                      <w:sz w:val="21"/>
                      <w:szCs w:val="21"/>
                    </w:rPr>
                  </w:pPr>
                  <w:r>
                    <w:rPr>
                      <w:sz w:val="21"/>
                      <w:szCs w:val="21"/>
                    </w:rPr>
                    <w:t>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4" w:hRule="atLeast"/>
                <w:jc w:val="center"/>
              </w:trPr>
              <w:tc>
                <w:tcPr>
                  <w:tcW w:w="1105" w:type="dxa"/>
                  <w:vAlign w:val="center"/>
                </w:tcPr>
                <w:p>
                  <w:pPr>
                    <w:spacing w:line="240" w:lineRule="auto"/>
                    <w:ind w:firstLine="0" w:firstLineChars="0"/>
                    <w:jc w:val="center"/>
                    <w:rPr>
                      <w:sz w:val="21"/>
                      <w:szCs w:val="21"/>
                    </w:rPr>
                  </w:pPr>
                  <w:r>
                    <w:rPr>
                      <w:sz w:val="21"/>
                      <w:szCs w:val="21"/>
                    </w:rPr>
                    <w:t>PM</w:t>
                  </w:r>
                  <w:r>
                    <w:rPr>
                      <w:sz w:val="21"/>
                      <w:szCs w:val="21"/>
                      <w:vertAlign w:val="subscript"/>
                    </w:rPr>
                    <w:t>10</w:t>
                  </w:r>
                </w:p>
              </w:tc>
              <w:tc>
                <w:tcPr>
                  <w:tcW w:w="1541" w:type="dxa"/>
                  <w:vAlign w:val="center"/>
                </w:tcPr>
                <w:p>
                  <w:pPr>
                    <w:spacing w:line="240" w:lineRule="auto"/>
                    <w:ind w:firstLine="0" w:firstLineChars="0"/>
                    <w:jc w:val="center"/>
                    <w:rPr>
                      <w:sz w:val="21"/>
                      <w:szCs w:val="21"/>
                    </w:rPr>
                  </w:pPr>
                  <w:r>
                    <w:rPr>
                      <w:sz w:val="21"/>
                      <w:szCs w:val="21"/>
                    </w:rPr>
                    <w:t>年平均</w:t>
                  </w:r>
                </w:p>
              </w:tc>
              <w:tc>
                <w:tcPr>
                  <w:tcW w:w="1023" w:type="dxa"/>
                  <w:vAlign w:val="center"/>
                </w:tcPr>
                <w:p>
                  <w:pPr>
                    <w:spacing w:line="240" w:lineRule="auto"/>
                    <w:ind w:firstLine="0" w:firstLineChars="0"/>
                    <w:jc w:val="center"/>
                    <w:rPr>
                      <w:sz w:val="21"/>
                      <w:szCs w:val="21"/>
                    </w:rPr>
                  </w:pPr>
                  <w:r>
                    <w:rPr>
                      <w:sz w:val="21"/>
                      <w:szCs w:val="21"/>
                    </w:rPr>
                    <w:t>3</w:t>
                  </w:r>
                  <w:r>
                    <w:rPr>
                      <w:rFonts w:hint="eastAsia"/>
                      <w:sz w:val="21"/>
                      <w:szCs w:val="21"/>
                    </w:rPr>
                    <w:t>8</w:t>
                  </w:r>
                </w:p>
              </w:tc>
              <w:tc>
                <w:tcPr>
                  <w:tcW w:w="1116" w:type="dxa"/>
                  <w:vAlign w:val="center"/>
                </w:tcPr>
                <w:p>
                  <w:pPr>
                    <w:spacing w:line="240" w:lineRule="auto"/>
                    <w:ind w:firstLine="0" w:firstLineChars="0"/>
                    <w:jc w:val="center"/>
                    <w:rPr>
                      <w:sz w:val="21"/>
                      <w:szCs w:val="21"/>
                    </w:rPr>
                  </w:pPr>
                  <w:r>
                    <w:rPr>
                      <w:sz w:val="21"/>
                      <w:szCs w:val="21"/>
                    </w:rPr>
                    <w:t>70</w:t>
                  </w:r>
                </w:p>
              </w:tc>
              <w:tc>
                <w:tcPr>
                  <w:tcW w:w="1060" w:type="dxa"/>
                  <w:tcBorders>
                    <w:right w:val="single" w:color="auto" w:sz="4" w:space="0"/>
                  </w:tcBorders>
                  <w:vAlign w:val="center"/>
                </w:tcPr>
                <w:p>
                  <w:pPr>
                    <w:spacing w:line="240" w:lineRule="auto"/>
                    <w:ind w:firstLine="0" w:firstLineChars="0"/>
                    <w:jc w:val="center"/>
                    <w:rPr>
                      <w:sz w:val="21"/>
                      <w:szCs w:val="21"/>
                    </w:rPr>
                  </w:pPr>
                  <w:r>
                    <w:rPr>
                      <w:rFonts w:hint="eastAsia"/>
                      <w:sz w:val="21"/>
                      <w:szCs w:val="21"/>
                    </w:rPr>
                    <w:t>54.29</w:t>
                  </w:r>
                </w:p>
              </w:tc>
              <w:tc>
                <w:tcPr>
                  <w:tcW w:w="1015" w:type="dxa"/>
                  <w:tcBorders>
                    <w:left w:val="single" w:color="auto" w:sz="4" w:space="0"/>
                  </w:tcBorders>
                  <w:vAlign w:val="center"/>
                </w:tcPr>
                <w:p>
                  <w:pPr>
                    <w:spacing w:line="240" w:lineRule="auto"/>
                    <w:ind w:firstLine="420"/>
                    <w:rPr>
                      <w:sz w:val="21"/>
                      <w:szCs w:val="21"/>
                    </w:rPr>
                  </w:pPr>
                  <w:r>
                    <w:rPr>
                      <w:sz w:val="21"/>
                      <w:szCs w:val="21"/>
                    </w:rPr>
                    <w:t>/</w:t>
                  </w:r>
                </w:p>
              </w:tc>
              <w:tc>
                <w:tcPr>
                  <w:tcW w:w="1018" w:type="dxa"/>
                  <w:vAlign w:val="center"/>
                </w:tcPr>
                <w:p>
                  <w:pPr>
                    <w:spacing w:line="240" w:lineRule="auto"/>
                    <w:ind w:firstLine="0" w:firstLineChars="0"/>
                    <w:jc w:val="center"/>
                    <w:rPr>
                      <w:sz w:val="21"/>
                      <w:szCs w:val="21"/>
                    </w:rPr>
                  </w:pPr>
                  <w:r>
                    <w:rPr>
                      <w:sz w:val="21"/>
                      <w:szCs w:val="21"/>
                    </w:rPr>
                    <w:t>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1105" w:type="dxa"/>
                  <w:vAlign w:val="center"/>
                </w:tcPr>
                <w:p>
                  <w:pPr>
                    <w:spacing w:line="240" w:lineRule="auto"/>
                    <w:ind w:firstLine="0" w:firstLineChars="0"/>
                    <w:jc w:val="center"/>
                    <w:rPr>
                      <w:sz w:val="21"/>
                      <w:szCs w:val="21"/>
                    </w:rPr>
                  </w:pPr>
                  <w:r>
                    <w:rPr>
                      <w:sz w:val="21"/>
                      <w:szCs w:val="21"/>
                    </w:rPr>
                    <w:t>PM</w:t>
                  </w:r>
                  <w:r>
                    <w:rPr>
                      <w:sz w:val="21"/>
                      <w:szCs w:val="21"/>
                      <w:vertAlign w:val="subscript"/>
                    </w:rPr>
                    <w:t>2.5</w:t>
                  </w:r>
                </w:p>
              </w:tc>
              <w:tc>
                <w:tcPr>
                  <w:tcW w:w="1541" w:type="dxa"/>
                  <w:vAlign w:val="center"/>
                </w:tcPr>
                <w:p>
                  <w:pPr>
                    <w:spacing w:line="240" w:lineRule="auto"/>
                    <w:ind w:firstLine="0" w:firstLineChars="0"/>
                    <w:jc w:val="center"/>
                    <w:rPr>
                      <w:sz w:val="21"/>
                      <w:szCs w:val="21"/>
                    </w:rPr>
                  </w:pPr>
                  <w:r>
                    <w:rPr>
                      <w:sz w:val="21"/>
                      <w:szCs w:val="21"/>
                    </w:rPr>
                    <w:t>年平均</w:t>
                  </w:r>
                </w:p>
              </w:tc>
              <w:tc>
                <w:tcPr>
                  <w:tcW w:w="1023" w:type="dxa"/>
                  <w:vAlign w:val="center"/>
                </w:tcPr>
                <w:p>
                  <w:pPr>
                    <w:spacing w:line="240" w:lineRule="auto"/>
                    <w:ind w:firstLine="0" w:firstLineChars="0"/>
                    <w:jc w:val="center"/>
                    <w:rPr>
                      <w:sz w:val="21"/>
                      <w:szCs w:val="21"/>
                    </w:rPr>
                  </w:pPr>
                  <w:r>
                    <w:rPr>
                      <w:sz w:val="21"/>
                      <w:szCs w:val="21"/>
                    </w:rPr>
                    <w:t>12</w:t>
                  </w:r>
                </w:p>
              </w:tc>
              <w:tc>
                <w:tcPr>
                  <w:tcW w:w="1116" w:type="dxa"/>
                  <w:vAlign w:val="center"/>
                </w:tcPr>
                <w:p>
                  <w:pPr>
                    <w:spacing w:line="240" w:lineRule="auto"/>
                    <w:ind w:firstLine="0" w:firstLineChars="0"/>
                    <w:jc w:val="center"/>
                    <w:rPr>
                      <w:sz w:val="21"/>
                      <w:szCs w:val="21"/>
                    </w:rPr>
                  </w:pPr>
                  <w:r>
                    <w:rPr>
                      <w:sz w:val="21"/>
                      <w:szCs w:val="21"/>
                    </w:rPr>
                    <w:t>35</w:t>
                  </w:r>
                </w:p>
              </w:tc>
              <w:tc>
                <w:tcPr>
                  <w:tcW w:w="1060" w:type="dxa"/>
                  <w:tcBorders>
                    <w:right w:val="single" w:color="auto" w:sz="4" w:space="0"/>
                  </w:tcBorders>
                  <w:vAlign w:val="center"/>
                </w:tcPr>
                <w:p>
                  <w:pPr>
                    <w:spacing w:line="240" w:lineRule="auto"/>
                    <w:ind w:firstLine="0" w:firstLineChars="0"/>
                    <w:jc w:val="center"/>
                    <w:rPr>
                      <w:sz w:val="21"/>
                      <w:szCs w:val="21"/>
                    </w:rPr>
                  </w:pPr>
                  <w:r>
                    <w:rPr>
                      <w:sz w:val="21"/>
                      <w:szCs w:val="21"/>
                    </w:rPr>
                    <w:t>34.29</w:t>
                  </w:r>
                </w:p>
              </w:tc>
              <w:tc>
                <w:tcPr>
                  <w:tcW w:w="1015" w:type="dxa"/>
                  <w:tcBorders>
                    <w:left w:val="single" w:color="auto" w:sz="4" w:space="0"/>
                  </w:tcBorders>
                  <w:vAlign w:val="center"/>
                </w:tcPr>
                <w:p>
                  <w:pPr>
                    <w:spacing w:line="240" w:lineRule="auto"/>
                    <w:ind w:firstLine="420"/>
                    <w:rPr>
                      <w:sz w:val="21"/>
                      <w:szCs w:val="21"/>
                    </w:rPr>
                  </w:pPr>
                  <w:r>
                    <w:rPr>
                      <w:sz w:val="21"/>
                      <w:szCs w:val="21"/>
                    </w:rPr>
                    <w:t>/</w:t>
                  </w:r>
                </w:p>
              </w:tc>
              <w:tc>
                <w:tcPr>
                  <w:tcW w:w="1018" w:type="dxa"/>
                  <w:vAlign w:val="center"/>
                </w:tcPr>
                <w:p>
                  <w:pPr>
                    <w:spacing w:line="240" w:lineRule="auto"/>
                    <w:ind w:firstLine="0" w:firstLineChars="0"/>
                    <w:jc w:val="center"/>
                    <w:rPr>
                      <w:sz w:val="21"/>
                      <w:szCs w:val="21"/>
                    </w:rPr>
                  </w:pPr>
                  <w:r>
                    <w:rPr>
                      <w:sz w:val="21"/>
                      <w:szCs w:val="21"/>
                    </w:rPr>
                    <w:t>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5" w:hRule="atLeast"/>
                <w:jc w:val="center"/>
              </w:trPr>
              <w:tc>
                <w:tcPr>
                  <w:tcW w:w="1105" w:type="dxa"/>
                  <w:vMerge w:val="restart"/>
                  <w:vAlign w:val="center"/>
                </w:tcPr>
                <w:p>
                  <w:pPr>
                    <w:spacing w:line="240" w:lineRule="auto"/>
                    <w:ind w:firstLine="0" w:firstLineChars="0"/>
                    <w:jc w:val="center"/>
                    <w:rPr>
                      <w:sz w:val="21"/>
                      <w:szCs w:val="21"/>
                    </w:rPr>
                  </w:pPr>
                  <w:r>
                    <w:rPr>
                      <w:sz w:val="21"/>
                      <w:szCs w:val="21"/>
                    </w:rPr>
                    <w:t>CO（mg/m</w:t>
                  </w:r>
                  <w:r>
                    <w:rPr>
                      <w:sz w:val="21"/>
                      <w:szCs w:val="21"/>
                      <w:vertAlign w:val="superscript"/>
                    </w:rPr>
                    <w:t>3</w:t>
                  </w:r>
                  <w:r>
                    <w:rPr>
                      <w:sz w:val="21"/>
                      <w:szCs w:val="21"/>
                    </w:rPr>
                    <w:t>）</w:t>
                  </w:r>
                </w:p>
              </w:tc>
              <w:tc>
                <w:tcPr>
                  <w:tcW w:w="1541" w:type="dxa"/>
                  <w:vAlign w:val="center"/>
                </w:tcPr>
                <w:p>
                  <w:pPr>
                    <w:spacing w:line="240" w:lineRule="auto"/>
                    <w:ind w:firstLine="0" w:firstLineChars="0"/>
                    <w:jc w:val="center"/>
                    <w:rPr>
                      <w:sz w:val="21"/>
                      <w:szCs w:val="21"/>
                    </w:rPr>
                  </w:pPr>
                  <w:r>
                    <w:rPr>
                      <w:sz w:val="21"/>
                      <w:szCs w:val="21"/>
                    </w:rPr>
                    <w:t>24小时平均第95百分位数</w:t>
                  </w:r>
                </w:p>
              </w:tc>
              <w:tc>
                <w:tcPr>
                  <w:tcW w:w="1023" w:type="dxa"/>
                  <w:vAlign w:val="center"/>
                </w:tcPr>
                <w:p>
                  <w:pPr>
                    <w:spacing w:line="240" w:lineRule="auto"/>
                    <w:ind w:firstLine="0" w:firstLineChars="0"/>
                    <w:jc w:val="center"/>
                    <w:rPr>
                      <w:sz w:val="21"/>
                      <w:szCs w:val="21"/>
                    </w:rPr>
                  </w:pPr>
                  <w:r>
                    <w:rPr>
                      <w:rFonts w:hint="eastAsia"/>
                      <w:sz w:val="21"/>
                      <w:szCs w:val="21"/>
                    </w:rPr>
                    <w:t>0.9</w:t>
                  </w:r>
                </w:p>
              </w:tc>
              <w:tc>
                <w:tcPr>
                  <w:tcW w:w="1116" w:type="dxa"/>
                  <w:vAlign w:val="center"/>
                </w:tcPr>
                <w:p>
                  <w:pPr>
                    <w:spacing w:line="240" w:lineRule="auto"/>
                    <w:ind w:firstLine="0" w:firstLineChars="0"/>
                    <w:jc w:val="center"/>
                    <w:rPr>
                      <w:sz w:val="21"/>
                      <w:szCs w:val="21"/>
                    </w:rPr>
                  </w:pPr>
                  <w:r>
                    <w:rPr>
                      <w:sz w:val="21"/>
                      <w:szCs w:val="21"/>
                    </w:rPr>
                    <w:t>4</w:t>
                  </w:r>
                </w:p>
              </w:tc>
              <w:tc>
                <w:tcPr>
                  <w:tcW w:w="1060" w:type="dxa"/>
                  <w:tcBorders>
                    <w:right w:val="single" w:color="auto" w:sz="4" w:space="0"/>
                  </w:tcBorders>
                  <w:vAlign w:val="center"/>
                </w:tcPr>
                <w:p>
                  <w:pPr>
                    <w:spacing w:line="240" w:lineRule="auto"/>
                    <w:ind w:firstLine="0" w:firstLineChars="0"/>
                    <w:jc w:val="center"/>
                    <w:rPr>
                      <w:sz w:val="21"/>
                      <w:szCs w:val="21"/>
                    </w:rPr>
                  </w:pPr>
                  <w:r>
                    <w:rPr>
                      <w:rFonts w:hint="eastAsia"/>
                      <w:sz w:val="21"/>
                      <w:szCs w:val="21"/>
                    </w:rPr>
                    <w:t>22.5</w:t>
                  </w:r>
                </w:p>
              </w:tc>
              <w:tc>
                <w:tcPr>
                  <w:tcW w:w="1015" w:type="dxa"/>
                  <w:tcBorders>
                    <w:left w:val="single" w:color="auto" w:sz="4" w:space="0"/>
                  </w:tcBorders>
                  <w:vAlign w:val="center"/>
                </w:tcPr>
                <w:p>
                  <w:pPr>
                    <w:spacing w:line="240" w:lineRule="auto"/>
                    <w:ind w:firstLine="420"/>
                    <w:rPr>
                      <w:sz w:val="21"/>
                      <w:szCs w:val="21"/>
                    </w:rPr>
                  </w:pPr>
                  <w:r>
                    <w:rPr>
                      <w:sz w:val="21"/>
                      <w:szCs w:val="21"/>
                    </w:rPr>
                    <w:t>/</w:t>
                  </w:r>
                </w:p>
              </w:tc>
              <w:tc>
                <w:tcPr>
                  <w:tcW w:w="1018" w:type="dxa"/>
                  <w:vAlign w:val="center"/>
                </w:tcPr>
                <w:p>
                  <w:pPr>
                    <w:spacing w:line="240" w:lineRule="auto"/>
                    <w:ind w:firstLine="0" w:firstLineChars="0"/>
                    <w:jc w:val="center"/>
                    <w:rPr>
                      <w:sz w:val="21"/>
                      <w:szCs w:val="21"/>
                    </w:rPr>
                  </w:pPr>
                  <w:r>
                    <w:rPr>
                      <w:sz w:val="21"/>
                      <w:szCs w:val="21"/>
                    </w:rPr>
                    <w:t>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8" w:hRule="atLeast"/>
                <w:jc w:val="center"/>
              </w:trPr>
              <w:tc>
                <w:tcPr>
                  <w:tcW w:w="1105" w:type="dxa"/>
                  <w:vAlign w:val="center"/>
                </w:tcPr>
                <w:p>
                  <w:pPr>
                    <w:spacing w:line="240" w:lineRule="auto"/>
                    <w:ind w:firstLine="0" w:firstLineChars="0"/>
                    <w:jc w:val="center"/>
                    <w:rPr>
                      <w:sz w:val="21"/>
                      <w:szCs w:val="21"/>
                    </w:rPr>
                  </w:pPr>
                  <w:r>
                    <w:rPr>
                      <w:sz w:val="21"/>
                      <w:szCs w:val="21"/>
                    </w:rPr>
                    <w:t>O</w:t>
                  </w:r>
                  <w:r>
                    <w:rPr>
                      <w:sz w:val="21"/>
                      <w:szCs w:val="21"/>
                      <w:vertAlign w:val="subscript"/>
                    </w:rPr>
                    <w:t>3</w:t>
                  </w:r>
                </w:p>
              </w:tc>
              <w:tc>
                <w:tcPr>
                  <w:tcW w:w="1541" w:type="dxa"/>
                  <w:vAlign w:val="center"/>
                </w:tcPr>
                <w:p>
                  <w:pPr>
                    <w:spacing w:line="240" w:lineRule="auto"/>
                    <w:ind w:firstLine="0" w:firstLineChars="0"/>
                    <w:jc w:val="center"/>
                    <w:rPr>
                      <w:sz w:val="21"/>
                      <w:szCs w:val="21"/>
                    </w:rPr>
                  </w:pPr>
                  <w:r>
                    <w:rPr>
                      <w:sz w:val="21"/>
                      <w:szCs w:val="21"/>
                    </w:rPr>
                    <w:t>8小时平均第90百分位数</w:t>
                  </w:r>
                </w:p>
              </w:tc>
              <w:tc>
                <w:tcPr>
                  <w:tcW w:w="1023" w:type="dxa"/>
                  <w:vAlign w:val="center"/>
                </w:tcPr>
                <w:p>
                  <w:pPr>
                    <w:spacing w:line="240" w:lineRule="auto"/>
                    <w:ind w:firstLine="0" w:firstLineChars="0"/>
                    <w:jc w:val="center"/>
                    <w:rPr>
                      <w:sz w:val="21"/>
                      <w:szCs w:val="21"/>
                    </w:rPr>
                  </w:pPr>
                  <w:r>
                    <w:rPr>
                      <w:rFonts w:hint="eastAsia"/>
                      <w:sz w:val="21"/>
                      <w:szCs w:val="21"/>
                    </w:rPr>
                    <w:t>102</w:t>
                  </w:r>
                </w:p>
              </w:tc>
              <w:tc>
                <w:tcPr>
                  <w:tcW w:w="1116" w:type="dxa"/>
                  <w:vAlign w:val="center"/>
                </w:tcPr>
                <w:p>
                  <w:pPr>
                    <w:spacing w:line="240" w:lineRule="auto"/>
                    <w:ind w:firstLine="0" w:firstLineChars="0"/>
                    <w:jc w:val="center"/>
                    <w:rPr>
                      <w:sz w:val="21"/>
                      <w:szCs w:val="21"/>
                    </w:rPr>
                  </w:pPr>
                  <w:r>
                    <w:rPr>
                      <w:sz w:val="21"/>
                      <w:szCs w:val="21"/>
                    </w:rPr>
                    <w:t>160</w:t>
                  </w:r>
                </w:p>
              </w:tc>
              <w:tc>
                <w:tcPr>
                  <w:tcW w:w="1060" w:type="dxa"/>
                  <w:tcBorders>
                    <w:right w:val="single" w:color="auto" w:sz="4" w:space="0"/>
                  </w:tcBorders>
                  <w:vAlign w:val="center"/>
                </w:tcPr>
                <w:p>
                  <w:pPr>
                    <w:spacing w:line="240" w:lineRule="auto"/>
                    <w:ind w:firstLine="0" w:firstLineChars="0"/>
                    <w:jc w:val="center"/>
                    <w:rPr>
                      <w:sz w:val="21"/>
                      <w:szCs w:val="21"/>
                    </w:rPr>
                  </w:pPr>
                  <w:r>
                    <w:rPr>
                      <w:rFonts w:hint="eastAsia"/>
                      <w:sz w:val="21"/>
                      <w:szCs w:val="21"/>
                    </w:rPr>
                    <w:t>63.75</w:t>
                  </w:r>
                </w:p>
              </w:tc>
              <w:tc>
                <w:tcPr>
                  <w:tcW w:w="1015" w:type="dxa"/>
                  <w:tcBorders>
                    <w:left w:val="single" w:color="auto" w:sz="4" w:space="0"/>
                  </w:tcBorders>
                  <w:vAlign w:val="center"/>
                </w:tcPr>
                <w:p>
                  <w:pPr>
                    <w:spacing w:line="240" w:lineRule="auto"/>
                    <w:ind w:firstLine="420"/>
                    <w:rPr>
                      <w:sz w:val="21"/>
                      <w:szCs w:val="21"/>
                    </w:rPr>
                  </w:pPr>
                  <w:r>
                    <w:rPr>
                      <w:sz w:val="21"/>
                      <w:szCs w:val="21"/>
                    </w:rPr>
                    <w:t>/</w:t>
                  </w:r>
                </w:p>
              </w:tc>
              <w:tc>
                <w:tcPr>
                  <w:tcW w:w="1018" w:type="dxa"/>
                  <w:vAlign w:val="center"/>
                </w:tcPr>
                <w:p>
                  <w:pPr>
                    <w:spacing w:line="240" w:lineRule="auto"/>
                    <w:ind w:firstLine="0" w:firstLineChars="0"/>
                    <w:jc w:val="center"/>
                    <w:rPr>
                      <w:sz w:val="21"/>
                      <w:szCs w:val="21"/>
                    </w:rPr>
                  </w:pPr>
                  <w:r>
                    <w:rPr>
                      <w:sz w:val="21"/>
                      <w:szCs w:val="21"/>
                    </w:rPr>
                    <w:t>达标</w:t>
                  </w:r>
                </w:p>
              </w:tc>
            </w:tr>
          </w:tbl>
          <w:p>
            <w:pPr>
              <w:widowControl/>
              <w:ind w:firstLine="480"/>
            </w:pPr>
            <w:r>
              <w:t>由表3-</w:t>
            </w:r>
            <w:r>
              <w:rPr>
                <w:rFonts w:hint="eastAsia"/>
              </w:rPr>
              <w:t>2</w:t>
            </w:r>
            <w:r>
              <w:t>可知，项目所在地塔城地区202</w:t>
            </w:r>
            <w:r>
              <w:rPr>
                <w:rFonts w:hint="eastAsia"/>
              </w:rPr>
              <w:t>1</w:t>
            </w:r>
            <w:r>
              <w:t>年各大气污染物平均浓度均优于《环境空气质量标准》（GB3095-2012）中二级标准限值，属于环境空气质量达标区。</w:t>
            </w:r>
          </w:p>
          <w:p>
            <w:pPr>
              <w:pStyle w:val="19"/>
            </w:pPr>
            <w:r>
              <w:rPr>
                <w:rFonts w:hint="eastAsia"/>
              </w:rPr>
              <w:t>2</w:t>
            </w:r>
            <w:r>
              <w:t>.2</w:t>
            </w:r>
            <w:r>
              <w:rPr>
                <w:rFonts w:hint="eastAsia"/>
              </w:rPr>
              <w:t xml:space="preserve"> </w:t>
            </w:r>
            <w:r>
              <w:t>水环境质量现状</w:t>
            </w:r>
          </w:p>
          <w:p>
            <w:pPr>
              <w:ind w:firstLine="480"/>
            </w:pPr>
            <w:r>
              <w:t>（1）地表水环境</w:t>
            </w:r>
          </w:p>
          <w:p>
            <w:pPr>
              <w:ind w:firstLine="480"/>
              <w:jc w:val="left"/>
            </w:pPr>
            <w:r>
              <w:t>本项目钻井期间钻井液循环利用，施工期生活污水定期清运至乌尔禾</w:t>
            </w:r>
            <w:r>
              <w:rPr>
                <w:rFonts w:hint="eastAsia"/>
              </w:rPr>
              <w:t>区</w:t>
            </w:r>
            <w:r>
              <w:t>污水处理厂</w:t>
            </w:r>
            <w:r>
              <w:rPr>
                <w:rFonts w:hint="eastAsia"/>
              </w:rPr>
              <w:t>处置</w:t>
            </w:r>
            <w:r>
              <w:t>，试油期</w:t>
            </w:r>
            <w:r>
              <w:rPr>
                <w:rFonts w:hint="eastAsia"/>
              </w:rPr>
              <w:t>洗井</w:t>
            </w:r>
            <w:r>
              <w:t>废水拉运至</w:t>
            </w:r>
            <w:r>
              <w:rPr>
                <w:rFonts w:hint="eastAsia"/>
              </w:rPr>
              <w:t>乌尔禾稀油处理站污水处理系统处置</w:t>
            </w:r>
            <w:r>
              <w:t>，处理达标后回注油藏。本工程区周边</w:t>
            </w:r>
            <w:r>
              <w:rPr>
                <w:rFonts w:eastAsia="TimesNewRomanPSMT"/>
              </w:rPr>
              <w:t>5km</w:t>
            </w:r>
            <w:r>
              <w:t>范围内无常年天然地表水体分布，与地表水体无水力联系，本次未对地表水环境进行现状评价。</w:t>
            </w:r>
          </w:p>
          <w:p>
            <w:pPr>
              <w:ind w:firstLine="480"/>
            </w:pPr>
            <w:r>
              <w:rPr>
                <w:rFonts w:hint="eastAsia"/>
              </w:rPr>
              <w:t>（2）</w:t>
            </w:r>
            <w:r>
              <w:t>地下水环境</w:t>
            </w:r>
          </w:p>
          <w:p>
            <w:pPr>
              <w:ind w:firstLine="480"/>
            </w:pPr>
            <w:r>
              <w:t>本工程属于矿产资源勘查活动，</w:t>
            </w:r>
            <w:r>
              <w:rPr>
                <w:rFonts w:hint="eastAsia"/>
              </w:rPr>
              <w:t>按照《环境影响评价技术导则 地下水环境》（</w:t>
            </w:r>
            <w:r>
              <w:t>HJ 610-2016</w:t>
            </w:r>
            <w:r>
              <w:rPr>
                <w:rFonts w:hint="eastAsia"/>
              </w:rPr>
              <w:t>）附录</w:t>
            </w:r>
            <w:r>
              <w:t>A</w:t>
            </w:r>
            <w:r>
              <w:rPr>
                <w:rFonts w:hint="eastAsia"/>
              </w:rPr>
              <w:t>，属于</w:t>
            </w:r>
            <w:r>
              <w:t>Ⅳ类</w:t>
            </w:r>
            <w:r>
              <w:rPr>
                <w:rFonts w:hint="eastAsia"/>
              </w:rPr>
              <w:t>项目，可不开展地下水环境影响评价。</w:t>
            </w:r>
          </w:p>
          <w:p>
            <w:pPr>
              <w:pStyle w:val="19"/>
            </w:pPr>
            <w:r>
              <w:rPr>
                <w:rFonts w:hint="eastAsia"/>
              </w:rPr>
              <w:t>2</w:t>
            </w:r>
            <w:r>
              <w:t>.3</w:t>
            </w:r>
            <w:r>
              <w:rPr>
                <w:rFonts w:hint="eastAsia"/>
              </w:rPr>
              <w:t xml:space="preserve"> </w:t>
            </w:r>
            <w:r>
              <w:t>声环境质量现状</w:t>
            </w:r>
          </w:p>
          <w:p>
            <w:pPr>
              <w:adjustRightInd/>
              <w:snapToGrid/>
              <w:ind w:firstLine="480"/>
              <w:rPr>
                <w:snapToGrid w:val="0"/>
              </w:rPr>
            </w:pPr>
            <w:r>
              <w:t>本项目</w:t>
            </w:r>
            <w:bookmarkStart w:id="27" w:name="OLE_LINK65"/>
            <w:bookmarkStart w:id="28" w:name="OLE_LINK64"/>
            <w:r>
              <w:t>为评价井钻试工程，施工期较短且无运营期，且各井场周边50m范围内无声环境保护目标，故未进行声环境质量现状评价</w:t>
            </w:r>
            <w:r>
              <w:rPr>
                <w:snapToGrid w:val="0"/>
              </w:rPr>
              <w:t>。</w:t>
            </w:r>
          </w:p>
          <w:p>
            <w:pPr>
              <w:pStyle w:val="19"/>
            </w:pPr>
            <w:r>
              <w:rPr>
                <w:rFonts w:hint="eastAsia"/>
              </w:rPr>
              <w:t>2</w:t>
            </w:r>
            <w:r>
              <w:t>.4</w:t>
            </w:r>
            <w:r>
              <w:rPr>
                <w:rFonts w:hint="eastAsia"/>
              </w:rPr>
              <w:t xml:space="preserve"> </w:t>
            </w:r>
            <w:r>
              <w:t>土壤环境质量评价</w:t>
            </w:r>
          </w:p>
          <w:p>
            <w:pPr>
              <w:adjustRightInd/>
              <w:snapToGrid/>
              <w:ind w:firstLine="480"/>
              <w:rPr>
                <w:kern w:val="0"/>
                <w:szCs w:val="21"/>
              </w:rPr>
            </w:pPr>
            <w:r>
              <w:rPr>
                <w:rFonts w:hint="eastAsia"/>
              </w:rPr>
              <w:t>根据《环境影响评价技术导则 土壤环境（试行）》（</w:t>
            </w:r>
            <w:r>
              <w:t>HJ 946-2018</w:t>
            </w:r>
            <w:r>
              <w:rPr>
                <w:rFonts w:hint="eastAsia"/>
              </w:rPr>
              <w:t>），本项目为矿产资源勘查活动，钻井期采用泥浆不落地，罐区进行防渗，属于</w:t>
            </w:r>
            <w:r>
              <w:t>Ⅳ类</w:t>
            </w:r>
            <w:r>
              <w:rPr>
                <w:rFonts w:hint="eastAsia"/>
              </w:rPr>
              <w:t>建设项目，不在生态影响型评价工作等级划分范围内，因此不需开展土壤环境影响评价。</w:t>
            </w:r>
            <w:bookmarkEnd w:id="27"/>
            <w:bookmarkEnd w:id="28"/>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53" w:hRule="atLeast"/>
          <w:jc w:val="center"/>
        </w:trPr>
        <w:tc>
          <w:tcPr>
            <w:tcW w:w="859" w:type="dxa"/>
            <w:vAlign w:val="center"/>
          </w:tcPr>
          <w:p>
            <w:pPr>
              <w:spacing w:line="240" w:lineRule="auto"/>
              <w:ind w:firstLine="0" w:firstLineChars="0"/>
              <w:jc w:val="center"/>
              <w:rPr>
                <w:kern w:val="0"/>
                <w:szCs w:val="21"/>
              </w:rPr>
            </w:pPr>
            <w:r>
              <w:rPr>
                <w:bCs/>
                <w:szCs w:val="21"/>
              </w:rPr>
              <w:t>与项目有关的原有环境污染和生态破坏问题</w:t>
            </w:r>
          </w:p>
        </w:tc>
        <w:tc>
          <w:tcPr>
            <w:tcW w:w="8298" w:type="dxa"/>
            <w:vAlign w:val="center"/>
          </w:tcPr>
          <w:p>
            <w:pPr>
              <w:spacing w:line="240" w:lineRule="auto"/>
              <w:ind w:firstLine="480"/>
              <w:rPr>
                <w:kern w:val="0"/>
                <w:szCs w:val="21"/>
              </w:rPr>
            </w:pPr>
            <w:r>
              <w:t>本项目为前期勘探工程，不存在原有环境问题。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859" w:type="dxa"/>
            <w:vAlign w:val="center"/>
          </w:tcPr>
          <w:p>
            <w:pPr>
              <w:spacing w:line="240" w:lineRule="auto"/>
              <w:ind w:firstLine="0" w:firstLineChars="0"/>
              <w:jc w:val="center"/>
              <w:rPr>
                <w:kern w:val="0"/>
                <w:szCs w:val="21"/>
              </w:rPr>
            </w:pPr>
            <w:r>
              <w:rPr>
                <w:kern w:val="0"/>
                <w:szCs w:val="21"/>
              </w:rPr>
              <w:t>生态环境保护目标</w:t>
            </w:r>
          </w:p>
        </w:tc>
        <w:tc>
          <w:tcPr>
            <w:tcW w:w="8298" w:type="dxa"/>
            <w:vAlign w:val="center"/>
          </w:tcPr>
          <w:p>
            <w:pPr>
              <w:pStyle w:val="18"/>
            </w:pPr>
            <w:r>
              <w:t>1</w:t>
            </w:r>
            <w:r>
              <w:rPr>
                <w:rFonts w:hint="eastAsia"/>
              </w:rPr>
              <w:t xml:space="preserve"> </w:t>
            </w:r>
            <w:r>
              <w:t>环境保护目标</w:t>
            </w:r>
          </w:p>
          <w:p>
            <w:pPr>
              <w:ind w:firstLine="480"/>
            </w:pPr>
            <w:r>
              <w:t>根据现场调查，本项目新钻</w:t>
            </w:r>
            <w:r>
              <w:rPr>
                <w:rFonts w:hint="eastAsia"/>
              </w:rPr>
              <w:t>3</w:t>
            </w:r>
            <w:r>
              <w:t>口评价井周边500m范围内无自然保护区、风景名胜区、居住区、文化区、人群较集中的区域，周边50m范围内无声环境保护目标，周边500m范围内无地下水集中式饮用水水源和热水、矿泉水、温泉等特殊地下水资源。本项目环境保护目标具体情况见表3-</w:t>
            </w:r>
            <w:r>
              <w:rPr>
                <w:rFonts w:hint="eastAsia"/>
              </w:rPr>
              <w:t>4</w:t>
            </w:r>
            <w:r>
              <w:t>。</w:t>
            </w:r>
          </w:p>
          <w:p>
            <w:pPr>
              <w:pStyle w:val="2"/>
              <w:spacing w:line="360" w:lineRule="auto"/>
            </w:pPr>
            <w:r>
              <w:t>表3-</w:t>
            </w:r>
            <w:r>
              <w:rPr>
                <w:rFonts w:hint="eastAsia"/>
              </w:rPr>
              <w:t>4</w:t>
            </w:r>
            <w:r>
              <w:t xml:space="preserve">  主要环境敏感目标一览表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224"/>
              <w:gridCol w:w="1060"/>
              <w:gridCol w:w="2564"/>
              <w:gridCol w:w="2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dxa"/>
                  <w:vAlign w:val="center"/>
                </w:tcPr>
                <w:p>
                  <w:pPr>
                    <w:pStyle w:val="20"/>
                    <w:rPr>
                      <w:b/>
                      <w:bCs/>
                      <w:szCs w:val="21"/>
                    </w:rPr>
                  </w:pPr>
                  <w:r>
                    <w:rPr>
                      <w:rFonts w:hint="eastAsia"/>
                      <w:b/>
                      <w:bCs/>
                      <w:szCs w:val="21"/>
                    </w:rPr>
                    <w:t>环境</w:t>
                  </w:r>
                  <w:r>
                    <w:rPr>
                      <w:b/>
                      <w:bCs/>
                      <w:szCs w:val="21"/>
                    </w:rPr>
                    <w:t>要素</w:t>
                  </w:r>
                </w:p>
              </w:tc>
              <w:tc>
                <w:tcPr>
                  <w:tcW w:w="1224" w:type="dxa"/>
                  <w:vAlign w:val="center"/>
                </w:tcPr>
                <w:p>
                  <w:pPr>
                    <w:pStyle w:val="20"/>
                    <w:rPr>
                      <w:b/>
                      <w:bCs/>
                      <w:szCs w:val="21"/>
                    </w:rPr>
                  </w:pPr>
                  <w:r>
                    <w:rPr>
                      <w:b/>
                      <w:bCs/>
                      <w:szCs w:val="21"/>
                    </w:rPr>
                    <w:t>保护目标</w:t>
                  </w:r>
                </w:p>
              </w:tc>
              <w:tc>
                <w:tcPr>
                  <w:tcW w:w="1060" w:type="dxa"/>
                  <w:vAlign w:val="center"/>
                </w:tcPr>
                <w:p>
                  <w:pPr>
                    <w:pStyle w:val="20"/>
                    <w:rPr>
                      <w:b/>
                      <w:bCs/>
                      <w:szCs w:val="21"/>
                    </w:rPr>
                  </w:pPr>
                  <w:r>
                    <w:rPr>
                      <w:b/>
                      <w:bCs/>
                      <w:szCs w:val="21"/>
                    </w:rPr>
                    <w:t>与项目区的关系</w:t>
                  </w:r>
                </w:p>
              </w:tc>
              <w:tc>
                <w:tcPr>
                  <w:tcW w:w="2564" w:type="dxa"/>
                  <w:vAlign w:val="center"/>
                </w:tcPr>
                <w:p>
                  <w:pPr>
                    <w:pStyle w:val="20"/>
                    <w:rPr>
                      <w:b/>
                      <w:bCs/>
                      <w:szCs w:val="21"/>
                    </w:rPr>
                  </w:pPr>
                  <w:r>
                    <w:rPr>
                      <w:rFonts w:hint="eastAsia"/>
                      <w:b/>
                      <w:bCs/>
                      <w:szCs w:val="21"/>
                    </w:rPr>
                    <w:t>敏感特征</w:t>
                  </w:r>
                </w:p>
              </w:tc>
              <w:tc>
                <w:tcPr>
                  <w:tcW w:w="2564" w:type="dxa"/>
                  <w:vAlign w:val="center"/>
                </w:tcPr>
                <w:p>
                  <w:pPr>
                    <w:pStyle w:val="20"/>
                    <w:rPr>
                      <w:b/>
                      <w:bCs/>
                      <w:szCs w:val="21"/>
                    </w:rPr>
                  </w:pPr>
                  <w:r>
                    <w:rPr>
                      <w:rFonts w:hint="eastAsia"/>
                      <w:b/>
                      <w:bCs/>
                      <w:szCs w:val="21"/>
                    </w:rPr>
                    <w:t>保护要求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dxa"/>
                  <w:vAlign w:val="center"/>
                </w:tcPr>
                <w:p>
                  <w:pPr>
                    <w:pStyle w:val="20"/>
                    <w:rPr>
                      <w:szCs w:val="21"/>
                    </w:rPr>
                  </w:pPr>
                  <w:r>
                    <w:rPr>
                      <w:szCs w:val="21"/>
                    </w:rPr>
                    <w:t>环境空气</w:t>
                  </w:r>
                </w:p>
              </w:tc>
              <w:tc>
                <w:tcPr>
                  <w:tcW w:w="1224" w:type="dxa"/>
                  <w:vAlign w:val="center"/>
                </w:tcPr>
                <w:p>
                  <w:pPr>
                    <w:pStyle w:val="20"/>
                    <w:rPr>
                      <w:szCs w:val="21"/>
                    </w:rPr>
                  </w:pPr>
                  <w:r>
                    <w:rPr>
                      <w:rFonts w:hint="eastAsia"/>
                      <w:szCs w:val="21"/>
                    </w:rPr>
                    <w:t>项目区大气</w:t>
                  </w:r>
                </w:p>
              </w:tc>
              <w:tc>
                <w:tcPr>
                  <w:tcW w:w="1060" w:type="dxa"/>
                  <w:vAlign w:val="center"/>
                </w:tcPr>
                <w:p>
                  <w:pPr>
                    <w:pStyle w:val="20"/>
                    <w:rPr>
                      <w:szCs w:val="21"/>
                    </w:rPr>
                  </w:pPr>
                  <w:r>
                    <w:rPr>
                      <w:rFonts w:hint="eastAsia"/>
                      <w:szCs w:val="21"/>
                    </w:rPr>
                    <w:t>井场区</w:t>
                  </w:r>
                </w:p>
              </w:tc>
              <w:tc>
                <w:tcPr>
                  <w:tcW w:w="2564" w:type="dxa"/>
                  <w:vAlign w:val="center"/>
                </w:tcPr>
                <w:p>
                  <w:pPr>
                    <w:pStyle w:val="20"/>
                    <w:rPr>
                      <w:szCs w:val="21"/>
                    </w:rPr>
                  </w:pPr>
                  <w:r>
                    <w:rPr>
                      <w:rFonts w:hint="eastAsia"/>
                      <w:szCs w:val="21"/>
                    </w:rPr>
                    <w:t>大气</w:t>
                  </w:r>
                </w:p>
              </w:tc>
              <w:tc>
                <w:tcPr>
                  <w:tcW w:w="2564" w:type="dxa"/>
                  <w:vAlign w:val="center"/>
                </w:tcPr>
                <w:p>
                  <w:pPr>
                    <w:pStyle w:val="20"/>
                    <w:rPr>
                      <w:szCs w:val="21"/>
                    </w:rPr>
                  </w:pPr>
                  <w:r>
                    <w:rPr>
                      <w:rFonts w:hint="eastAsia"/>
                      <w:szCs w:val="21"/>
                    </w:rPr>
                    <w:t>《环境空气质量标准》（</w:t>
                  </w:r>
                  <w:r>
                    <w:rPr>
                      <w:szCs w:val="21"/>
                    </w:rPr>
                    <w:t>GB3095-2012</w:t>
                  </w:r>
                  <w:r>
                    <w:rPr>
                      <w:rFonts w:hint="eastAsia"/>
                      <w:szCs w:val="21"/>
                    </w:rPr>
                    <w:t>）二级标准，区域大气环境不因本项目建设受影响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7" w:type="dxa"/>
                  <w:vAlign w:val="center"/>
                </w:tcPr>
                <w:p>
                  <w:pPr>
                    <w:pStyle w:val="20"/>
                    <w:rPr>
                      <w:szCs w:val="21"/>
                    </w:rPr>
                  </w:pPr>
                  <w:r>
                    <w:rPr>
                      <w:szCs w:val="21"/>
                    </w:rPr>
                    <w:t>水环境</w:t>
                  </w:r>
                </w:p>
              </w:tc>
              <w:tc>
                <w:tcPr>
                  <w:tcW w:w="1224" w:type="dxa"/>
                  <w:vAlign w:val="center"/>
                </w:tcPr>
                <w:p>
                  <w:pPr>
                    <w:pStyle w:val="20"/>
                    <w:rPr>
                      <w:szCs w:val="21"/>
                    </w:rPr>
                  </w:pPr>
                  <w:r>
                    <w:rPr>
                      <w:szCs w:val="21"/>
                    </w:rPr>
                    <w:t>地下水</w:t>
                  </w:r>
                </w:p>
              </w:tc>
              <w:tc>
                <w:tcPr>
                  <w:tcW w:w="6188" w:type="dxa"/>
                  <w:gridSpan w:val="3"/>
                  <w:vAlign w:val="center"/>
                </w:tcPr>
                <w:p>
                  <w:pPr>
                    <w:pStyle w:val="20"/>
                    <w:rPr>
                      <w:szCs w:val="21"/>
                    </w:rPr>
                  </w:pPr>
                  <w:r>
                    <w:rPr>
                      <w:rFonts w:hint="eastAsia"/>
                      <w:szCs w:val="21"/>
                    </w:rPr>
                    <w:t>保护区域地下水，不因本工程建设受影响；《地下水质量标准》（</w:t>
                  </w:r>
                  <w:r>
                    <w:rPr>
                      <w:szCs w:val="21"/>
                    </w:rPr>
                    <w:t>GB/T14848-2017</w:t>
                  </w:r>
                  <w:r>
                    <w:rPr>
                      <w:rFonts w:hint="eastAsia"/>
                      <w:szCs w:val="21"/>
                    </w:rPr>
                    <w:t>）</w:t>
                  </w:r>
                  <w:r>
                    <w:rPr>
                      <w:szCs w:val="21"/>
                    </w:rPr>
                    <w:t>Ⅲ</w:t>
                  </w:r>
                  <w:r>
                    <w:rPr>
                      <w:rFonts w:hint="eastAsia"/>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dxa"/>
                  <w:vAlign w:val="center"/>
                </w:tcPr>
                <w:p>
                  <w:pPr>
                    <w:pStyle w:val="20"/>
                    <w:rPr>
                      <w:szCs w:val="21"/>
                    </w:rPr>
                  </w:pPr>
                  <w:r>
                    <w:rPr>
                      <w:rFonts w:hint="eastAsia"/>
                      <w:szCs w:val="21"/>
                    </w:rPr>
                    <w:t>声环境</w:t>
                  </w:r>
                </w:p>
              </w:tc>
              <w:tc>
                <w:tcPr>
                  <w:tcW w:w="1224" w:type="dxa"/>
                  <w:vAlign w:val="center"/>
                </w:tcPr>
                <w:p>
                  <w:pPr>
                    <w:pStyle w:val="20"/>
                    <w:rPr>
                      <w:szCs w:val="21"/>
                    </w:rPr>
                  </w:pPr>
                  <w:r>
                    <w:rPr>
                      <w:rFonts w:hint="eastAsia"/>
                      <w:szCs w:val="21"/>
                    </w:rPr>
                    <w:t>区域声环境</w:t>
                  </w:r>
                </w:p>
              </w:tc>
              <w:tc>
                <w:tcPr>
                  <w:tcW w:w="3624" w:type="dxa"/>
                  <w:gridSpan w:val="2"/>
                  <w:vAlign w:val="center"/>
                </w:tcPr>
                <w:p>
                  <w:pPr>
                    <w:pStyle w:val="20"/>
                    <w:rPr>
                      <w:szCs w:val="21"/>
                    </w:rPr>
                  </w:pPr>
                  <w:r>
                    <w:rPr>
                      <w:rFonts w:hint="eastAsia"/>
                      <w:szCs w:val="21"/>
                    </w:rPr>
                    <w:t>井场周边</w:t>
                  </w:r>
                  <w:r>
                    <w:rPr>
                      <w:szCs w:val="21"/>
                    </w:rPr>
                    <w:t>200m</w:t>
                  </w:r>
                  <w:r>
                    <w:rPr>
                      <w:rFonts w:hint="eastAsia"/>
                      <w:szCs w:val="21"/>
                    </w:rPr>
                    <w:t>范围内无居民分布点</w:t>
                  </w:r>
                </w:p>
              </w:tc>
              <w:tc>
                <w:tcPr>
                  <w:tcW w:w="2564" w:type="dxa"/>
                  <w:vAlign w:val="center"/>
                </w:tcPr>
                <w:p>
                  <w:pPr>
                    <w:pStyle w:val="20"/>
                    <w:rPr>
                      <w:szCs w:val="21"/>
                    </w:rPr>
                  </w:pPr>
                  <w:r>
                    <w:rPr>
                      <w:rFonts w:hint="eastAsia"/>
                      <w:szCs w:val="21"/>
                    </w:rPr>
                    <w:t>《声环境质量标准》（</w:t>
                  </w:r>
                  <w:r>
                    <w:rPr>
                      <w:szCs w:val="21"/>
                    </w:rPr>
                    <w:t>GB 3096-2008</w:t>
                  </w:r>
                  <w:r>
                    <w:rPr>
                      <w:rFonts w:hint="eastAsia"/>
                      <w:szCs w:val="21"/>
                    </w:rPr>
                    <w:t>）中</w:t>
                  </w:r>
                  <w:r>
                    <w:rPr>
                      <w:szCs w:val="21"/>
                    </w:rPr>
                    <w:t>2</w:t>
                  </w:r>
                  <w:r>
                    <w:rPr>
                      <w:rFonts w:hint="eastAsia"/>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57" w:type="dxa"/>
                  <w:vMerge w:val="restart"/>
                  <w:vAlign w:val="center"/>
                </w:tcPr>
                <w:p>
                  <w:pPr>
                    <w:pStyle w:val="20"/>
                    <w:rPr>
                      <w:szCs w:val="21"/>
                    </w:rPr>
                  </w:pPr>
                  <w:r>
                    <w:rPr>
                      <w:rFonts w:hint="eastAsia"/>
                      <w:szCs w:val="21"/>
                    </w:rPr>
                    <w:t>生态环境</w:t>
                  </w:r>
                </w:p>
              </w:tc>
              <w:tc>
                <w:tcPr>
                  <w:tcW w:w="1224" w:type="dxa"/>
                  <w:vAlign w:val="center"/>
                </w:tcPr>
                <w:p>
                  <w:pPr>
                    <w:pStyle w:val="20"/>
                    <w:rPr>
                      <w:szCs w:val="21"/>
                    </w:rPr>
                  </w:pPr>
                  <w:r>
                    <w:rPr>
                      <w:rFonts w:hint="eastAsia"/>
                      <w:szCs w:val="21"/>
                    </w:rPr>
                    <w:t>井场区土壤、植被</w:t>
                  </w:r>
                </w:p>
              </w:tc>
              <w:tc>
                <w:tcPr>
                  <w:tcW w:w="1060" w:type="dxa"/>
                  <w:vAlign w:val="center"/>
                </w:tcPr>
                <w:p>
                  <w:pPr>
                    <w:pStyle w:val="20"/>
                    <w:rPr>
                      <w:szCs w:val="21"/>
                    </w:rPr>
                  </w:pPr>
                  <w:r>
                    <w:rPr>
                      <w:rFonts w:hint="eastAsia"/>
                      <w:szCs w:val="21"/>
                    </w:rPr>
                    <w:t>井场、道路占地</w:t>
                  </w:r>
                </w:p>
              </w:tc>
              <w:tc>
                <w:tcPr>
                  <w:tcW w:w="5128" w:type="dxa"/>
                  <w:gridSpan w:val="2"/>
                  <w:vMerge w:val="restart"/>
                  <w:vAlign w:val="center"/>
                </w:tcPr>
                <w:p>
                  <w:pPr>
                    <w:pStyle w:val="20"/>
                    <w:rPr>
                      <w:szCs w:val="21"/>
                    </w:rPr>
                  </w:pPr>
                  <w:r>
                    <w:rPr>
                      <w:rFonts w:hint="eastAsia"/>
                      <w:szCs w:val="21"/>
                    </w:rPr>
                    <w:t>保护区域内生境或结构，不因本项目建设受影响；防治生态破坏和土壤污染；保护区域内原生植被，严禁乱砍乱伐；保护区域内野生动物。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57" w:type="dxa"/>
                  <w:vMerge w:val="continue"/>
                  <w:vAlign w:val="center"/>
                </w:tcPr>
                <w:p>
                  <w:pPr>
                    <w:pStyle w:val="20"/>
                    <w:rPr>
                      <w:szCs w:val="21"/>
                    </w:rPr>
                  </w:pPr>
                </w:p>
              </w:tc>
              <w:tc>
                <w:tcPr>
                  <w:tcW w:w="1224" w:type="dxa"/>
                  <w:vAlign w:val="center"/>
                </w:tcPr>
                <w:p>
                  <w:pPr>
                    <w:pStyle w:val="20"/>
                    <w:rPr>
                      <w:szCs w:val="21"/>
                    </w:rPr>
                  </w:pPr>
                  <w:r>
                    <w:rPr>
                      <w:rFonts w:hint="eastAsia"/>
                      <w:szCs w:val="21"/>
                    </w:rPr>
                    <w:t>野生动物</w:t>
                  </w:r>
                </w:p>
              </w:tc>
              <w:tc>
                <w:tcPr>
                  <w:tcW w:w="1060" w:type="dxa"/>
                  <w:vAlign w:val="center"/>
                </w:tcPr>
                <w:p>
                  <w:pPr>
                    <w:pStyle w:val="20"/>
                    <w:rPr>
                      <w:szCs w:val="21"/>
                    </w:rPr>
                  </w:pPr>
                  <w:r>
                    <w:rPr>
                      <w:rFonts w:hint="eastAsia"/>
                      <w:szCs w:val="21"/>
                    </w:rPr>
                    <w:t>井场、道路占地</w:t>
                  </w:r>
                </w:p>
              </w:tc>
              <w:tc>
                <w:tcPr>
                  <w:tcW w:w="5128" w:type="dxa"/>
                  <w:gridSpan w:val="2"/>
                  <w:vMerge w:val="continue"/>
                  <w:vAlign w:val="center"/>
                </w:tcPr>
                <w:p>
                  <w:pPr>
                    <w:pStyle w:val="2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57" w:type="dxa"/>
                  <w:vAlign w:val="center"/>
                </w:tcPr>
                <w:p>
                  <w:pPr>
                    <w:pStyle w:val="20"/>
                    <w:rPr>
                      <w:szCs w:val="21"/>
                    </w:rPr>
                  </w:pPr>
                  <w:r>
                    <w:rPr>
                      <w:rFonts w:hint="eastAsia"/>
                      <w:szCs w:val="21"/>
                    </w:rPr>
                    <w:t>保护植物</w:t>
                  </w:r>
                </w:p>
              </w:tc>
              <w:tc>
                <w:tcPr>
                  <w:tcW w:w="1224" w:type="dxa"/>
                  <w:vAlign w:val="center"/>
                </w:tcPr>
                <w:p>
                  <w:pPr>
                    <w:pStyle w:val="20"/>
                    <w:rPr>
                      <w:szCs w:val="21"/>
                    </w:rPr>
                  </w:pPr>
                  <w:r>
                    <w:rPr>
                      <w:rFonts w:hint="eastAsia"/>
                      <w:szCs w:val="21"/>
                    </w:rPr>
                    <w:t>梭梭、白梭梭</w:t>
                  </w:r>
                </w:p>
              </w:tc>
              <w:tc>
                <w:tcPr>
                  <w:tcW w:w="1060" w:type="dxa"/>
                  <w:vAlign w:val="center"/>
                </w:tcPr>
                <w:p>
                  <w:pPr>
                    <w:pStyle w:val="20"/>
                    <w:rPr>
                      <w:szCs w:val="21"/>
                    </w:rPr>
                  </w:pPr>
                  <w:r>
                    <w:rPr>
                      <w:rFonts w:hint="eastAsia"/>
                      <w:szCs w:val="21"/>
                    </w:rPr>
                    <w:t>项目区占地</w:t>
                  </w:r>
                </w:p>
              </w:tc>
              <w:tc>
                <w:tcPr>
                  <w:tcW w:w="2564" w:type="dxa"/>
                  <w:vAlign w:val="center"/>
                </w:tcPr>
                <w:p>
                  <w:pPr>
                    <w:pStyle w:val="20"/>
                    <w:rPr>
                      <w:szCs w:val="21"/>
                    </w:rPr>
                  </w:pPr>
                  <w:r>
                    <w:rPr>
                      <w:rFonts w:hint="eastAsia"/>
                      <w:szCs w:val="21"/>
                    </w:rPr>
                    <w:t>新疆维吾尔</w:t>
                  </w:r>
                  <w:r>
                    <w:rPr>
                      <w:szCs w:val="21"/>
                    </w:rPr>
                    <w:t>自治区Ⅰ级保护植物</w:t>
                  </w:r>
                </w:p>
              </w:tc>
              <w:tc>
                <w:tcPr>
                  <w:tcW w:w="2564" w:type="dxa"/>
                  <w:vAlign w:val="center"/>
                </w:tcPr>
                <w:p>
                  <w:pPr>
                    <w:pStyle w:val="20"/>
                    <w:rPr>
                      <w:szCs w:val="21"/>
                    </w:rPr>
                  </w:pPr>
                  <w:r>
                    <w:rPr>
                      <w:szCs w:val="21"/>
                    </w:rPr>
                    <w:t>项目施工尽量避让保护</w:t>
                  </w:r>
                </w:p>
              </w:tc>
            </w:tr>
          </w:tbl>
          <w:p>
            <w:pPr>
              <w:pStyle w:val="18"/>
            </w:pPr>
            <w:r>
              <w:t>2</w:t>
            </w:r>
            <w:r>
              <w:rPr>
                <w:rFonts w:hint="eastAsia"/>
              </w:rPr>
              <w:t xml:space="preserve"> </w:t>
            </w:r>
            <w:r>
              <w:t>保护要求</w:t>
            </w:r>
          </w:p>
          <w:p>
            <w:pPr>
              <w:ind w:firstLine="480"/>
            </w:pPr>
            <w:r>
              <w:t>（1）保护项目所在区域的空气质量，保持现有空气质量级别，不因本项目的建设降低环境空气质量；</w:t>
            </w:r>
          </w:p>
          <w:p>
            <w:pPr>
              <w:ind w:firstLine="480"/>
            </w:pPr>
            <w:r>
              <w:t>（2）保护项目所在区域地下水质量保持在现有水平，不受本项目所排废水的影响；</w:t>
            </w:r>
          </w:p>
          <w:p>
            <w:pPr>
              <w:ind w:firstLine="480"/>
            </w:pPr>
            <w:r>
              <w:t>（3）保护项目区声环境质量现状，符合《声环境质量标准》（GB3096-2008）的2类声环境功能限值；</w:t>
            </w:r>
          </w:p>
          <w:p>
            <w:pPr>
              <w:ind w:firstLine="480"/>
            </w:pPr>
            <w:r>
              <w:t>（4）生态环境保护目标：本项目需保护项目区生态环境，使项目的建成不对项目区生态环境产生不利影响</w:t>
            </w:r>
            <w:r>
              <w:rPr>
                <w:rFonts w:hint="eastAsia"/>
              </w:rPr>
              <w:t>。</w:t>
            </w:r>
          </w:p>
          <w:p>
            <w:pPr>
              <w:pStyle w:val="18"/>
              <w:ind w:firstLine="480" w:firstLineChars="200"/>
              <w:rPr>
                <w:b w:val="0"/>
                <w:bCs/>
              </w:rPr>
            </w:pPr>
            <w:r>
              <w:rPr>
                <w:b w:val="0"/>
                <w:bCs/>
                <w:sz w:val="24"/>
              </w:rPr>
              <w:t xml:space="preserve">（5）土壤环境质量可按《土壤环境质量 </w:t>
            </w:r>
            <w:r>
              <w:rPr>
                <w:rFonts w:hint="eastAsia"/>
                <w:b w:val="0"/>
                <w:bCs/>
                <w:sz w:val="24"/>
              </w:rPr>
              <w:t>建设</w:t>
            </w:r>
            <w:r>
              <w:rPr>
                <w:b w:val="0"/>
                <w:bCs/>
                <w:sz w:val="24"/>
              </w:rPr>
              <w:t>用地土壤污染风险管控标准（试行）》（GB</w:t>
            </w:r>
            <w:r>
              <w:rPr>
                <w:rFonts w:hint="eastAsia"/>
                <w:b w:val="0"/>
                <w:bCs/>
                <w:sz w:val="24"/>
              </w:rPr>
              <w:t>36600</w:t>
            </w:r>
            <w:r>
              <w:rPr>
                <w:b w:val="0"/>
                <w:bCs/>
                <w:sz w:val="24"/>
              </w:rPr>
              <w:t>-2018）中建设地土壤污染风险筛选值。</w:t>
            </w:r>
          </w:p>
          <w:p>
            <w:pPr>
              <w:pStyle w:val="18"/>
            </w:pPr>
          </w:p>
          <w:p>
            <w:pPr>
              <w:pStyle w:val="18"/>
            </w:pPr>
          </w:p>
          <w:p>
            <w:pPr>
              <w:pStyle w:val="18"/>
            </w:pPr>
          </w:p>
          <w:p>
            <w:pPr>
              <w:pStyle w:val="18"/>
            </w:pPr>
          </w:p>
          <w:p>
            <w:pPr>
              <w:pStyle w:val="11"/>
              <w:ind w:left="0"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6" w:hRule="atLeast"/>
          <w:jc w:val="center"/>
        </w:trPr>
        <w:tc>
          <w:tcPr>
            <w:tcW w:w="859" w:type="dxa"/>
            <w:vAlign w:val="center"/>
          </w:tcPr>
          <w:p>
            <w:pPr>
              <w:ind w:firstLine="0" w:firstLineChars="0"/>
              <w:jc w:val="center"/>
              <w:rPr>
                <w:kern w:val="0"/>
                <w:szCs w:val="21"/>
              </w:rPr>
            </w:pPr>
            <w:r>
              <w:rPr>
                <w:kern w:val="0"/>
                <w:szCs w:val="21"/>
              </w:rPr>
              <w:t>评价</w:t>
            </w:r>
          </w:p>
          <w:p>
            <w:pPr>
              <w:ind w:firstLine="0" w:firstLineChars="0"/>
              <w:jc w:val="center"/>
              <w:rPr>
                <w:kern w:val="0"/>
                <w:szCs w:val="21"/>
              </w:rPr>
            </w:pPr>
            <w:r>
              <w:rPr>
                <w:kern w:val="0"/>
                <w:szCs w:val="21"/>
              </w:rPr>
              <w:t>标准</w:t>
            </w:r>
          </w:p>
        </w:tc>
        <w:tc>
          <w:tcPr>
            <w:tcW w:w="8298" w:type="dxa"/>
            <w:vAlign w:val="center"/>
          </w:tcPr>
          <w:p>
            <w:pPr>
              <w:pStyle w:val="18"/>
            </w:pPr>
            <w:r>
              <w:t>1</w:t>
            </w:r>
            <w:r>
              <w:rPr>
                <w:rFonts w:hint="eastAsia"/>
              </w:rPr>
              <w:t xml:space="preserve"> </w:t>
            </w:r>
            <w:r>
              <w:t>环境质量标准</w:t>
            </w:r>
          </w:p>
          <w:p>
            <w:pPr>
              <w:ind w:firstLine="480"/>
            </w:pPr>
            <w:r>
              <w:t>（1）大气环境：《环境空气质量标准》（GB3095-2012）中二级标准及修改单，SO</w:t>
            </w:r>
            <w:r>
              <w:rPr>
                <w:vertAlign w:val="subscript"/>
              </w:rPr>
              <w:t>2</w:t>
            </w:r>
            <w:r>
              <w:t>60μg/m</w:t>
            </w:r>
            <w:r>
              <w:rPr>
                <w:vertAlign w:val="superscript"/>
              </w:rPr>
              <w:t>3</w:t>
            </w:r>
            <w:r>
              <w:t>、NO</w:t>
            </w:r>
            <w:r>
              <w:rPr>
                <w:vertAlign w:val="subscript"/>
              </w:rPr>
              <w:t>2</w:t>
            </w:r>
            <w:r>
              <w:t>40μg/m</w:t>
            </w:r>
            <w:r>
              <w:rPr>
                <w:vertAlign w:val="superscript"/>
              </w:rPr>
              <w:t>3</w:t>
            </w:r>
            <w:r>
              <w:t>、PM</w:t>
            </w:r>
            <w:r>
              <w:rPr>
                <w:vertAlign w:val="subscript"/>
              </w:rPr>
              <w:t>10</w:t>
            </w:r>
            <w:r>
              <w:t>70μg/m</w:t>
            </w:r>
            <w:r>
              <w:rPr>
                <w:vertAlign w:val="superscript"/>
              </w:rPr>
              <w:t>3</w:t>
            </w:r>
            <w:r>
              <w:t>、PM</w:t>
            </w:r>
            <w:r>
              <w:rPr>
                <w:vertAlign w:val="subscript"/>
              </w:rPr>
              <w:t>2.5</w:t>
            </w:r>
            <w:r>
              <w:t>35μg/m</w:t>
            </w:r>
            <w:r>
              <w:rPr>
                <w:vertAlign w:val="superscript"/>
              </w:rPr>
              <w:t>3</w:t>
            </w:r>
            <w:r>
              <w:t>、CO4000μg/m</w:t>
            </w:r>
            <w:r>
              <w:rPr>
                <w:vertAlign w:val="superscript"/>
              </w:rPr>
              <w:t>3</w:t>
            </w:r>
            <w:r>
              <w:t>、O</w:t>
            </w:r>
            <w:r>
              <w:rPr>
                <w:vertAlign w:val="subscript"/>
              </w:rPr>
              <w:t>3</w:t>
            </w:r>
            <w:r>
              <w:t>160μg/m</w:t>
            </w:r>
            <w:r>
              <w:rPr>
                <w:vertAlign w:val="superscript"/>
              </w:rPr>
              <w:t>3</w:t>
            </w:r>
            <w:r>
              <w:t>；</w:t>
            </w:r>
          </w:p>
          <w:p>
            <w:pPr>
              <w:ind w:firstLine="480"/>
            </w:pPr>
            <w:r>
              <w:t>（2）声环境：《声环境质量标准》（GB3096-2008）的2类标准限值，昼间60dB（A）、夜间50dB（A）。</w:t>
            </w:r>
          </w:p>
          <w:p>
            <w:pPr>
              <w:pStyle w:val="18"/>
            </w:pPr>
            <w:r>
              <w:t>2污染物排放标准</w:t>
            </w:r>
          </w:p>
          <w:p>
            <w:pPr>
              <w:pStyle w:val="18"/>
              <w:ind w:firstLine="480" w:firstLineChars="200"/>
              <w:rPr>
                <w:sz w:val="24"/>
              </w:rPr>
            </w:pPr>
            <w:r>
              <w:rPr>
                <w:b w:val="0"/>
                <w:sz w:val="24"/>
              </w:rPr>
              <w:t>（1）《大气污染物综合排放标准》（GB16297-1996）；</w:t>
            </w:r>
          </w:p>
          <w:p>
            <w:pPr>
              <w:pStyle w:val="23"/>
              <w:ind w:firstLine="480" w:firstLineChars="200"/>
              <w:rPr>
                <w:b w:val="0"/>
                <w:sz w:val="24"/>
              </w:rPr>
            </w:pPr>
            <w:r>
              <w:rPr>
                <w:rFonts w:hint="eastAsia"/>
                <w:b w:val="0"/>
                <w:sz w:val="24"/>
              </w:rPr>
              <w:t>（2）</w:t>
            </w:r>
            <w:r>
              <w:rPr>
                <w:b w:val="0"/>
                <w:sz w:val="24"/>
              </w:rPr>
              <w:t>《陆上石油天然气开采工业大气污染物排放标准》（GB39728-2020）；</w:t>
            </w:r>
          </w:p>
          <w:p>
            <w:pPr>
              <w:ind w:firstLine="480"/>
            </w:pPr>
            <w:r>
              <w:t>（</w:t>
            </w:r>
            <w:r>
              <w:rPr>
                <w:rFonts w:hint="eastAsia"/>
              </w:rPr>
              <w:t>3</w:t>
            </w:r>
            <w:r>
              <w:t>）《污水综合排放标准》（GB8978-1996）表4三级标准；</w:t>
            </w:r>
          </w:p>
          <w:p>
            <w:pPr>
              <w:ind w:firstLine="480"/>
            </w:pPr>
            <w:r>
              <w:t>（</w:t>
            </w:r>
            <w:r>
              <w:rPr>
                <w:rFonts w:hint="eastAsia"/>
              </w:rPr>
              <w:t>4</w:t>
            </w:r>
            <w:r>
              <w:t>）《建筑施工场界环境噪声排放标准》（GB12523-2011），即昼间70dB（A）、夜间55dB（A）；</w:t>
            </w:r>
          </w:p>
          <w:p>
            <w:pPr>
              <w:ind w:firstLine="480"/>
            </w:pPr>
            <w:r>
              <w:t>（</w:t>
            </w:r>
            <w:r>
              <w:rPr>
                <w:rFonts w:hint="eastAsia"/>
              </w:rPr>
              <w:t>5</w:t>
            </w:r>
            <w:r>
              <w:t>）《一般工业固体废物贮存和填埋污染控制标准》（GB 18599-2020）；</w:t>
            </w:r>
          </w:p>
          <w:p>
            <w:pPr>
              <w:ind w:firstLine="480"/>
            </w:pPr>
            <w:r>
              <w:t>（</w:t>
            </w:r>
            <w:r>
              <w:rPr>
                <w:rFonts w:hint="eastAsia"/>
              </w:rPr>
              <w:t>6</w:t>
            </w:r>
            <w:r>
              <w:t>）《危险废物贮存污染控制标准》（GB18597-2001）及修改单；</w:t>
            </w:r>
          </w:p>
          <w:p>
            <w:pPr>
              <w:ind w:firstLine="480"/>
            </w:pPr>
            <w:r>
              <w:t>（</w:t>
            </w:r>
            <w:r>
              <w:rPr>
                <w:rFonts w:hint="eastAsia"/>
              </w:rPr>
              <w:t>7</w:t>
            </w:r>
            <w:r>
              <w:t>）《油气田钻井固体废物综合利用污染控制要求》（DB65/T 3997-2017）；</w:t>
            </w:r>
          </w:p>
          <w:p>
            <w:pPr>
              <w:ind w:firstLine="480"/>
            </w:pPr>
            <w:r>
              <w:t>（</w:t>
            </w:r>
            <w:r>
              <w:rPr>
                <w:rFonts w:hint="eastAsia"/>
              </w:rPr>
              <w:t>8</w:t>
            </w:r>
            <w:r>
              <w:t>）《碎屑岩油藏注水水质指标及分析方法》（SY/T5329-2012）。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14" w:hRule="atLeast"/>
          <w:jc w:val="center"/>
        </w:trPr>
        <w:tc>
          <w:tcPr>
            <w:tcW w:w="859" w:type="dxa"/>
            <w:vAlign w:val="center"/>
          </w:tcPr>
          <w:p>
            <w:pPr>
              <w:ind w:firstLine="0" w:firstLineChars="0"/>
              <w:jc w:val="center"/>
              <w:rPr>
                <w:kern w:val="0"/>
                <w:szCs w:val="21"/>
              </w:rPr>
            </w:pPr>
            <w:r>
              <w:rPr>
                <w:kern w:val="0"/>
                <w:szCs w:val="21"/>
              </w:rPr>
              <w:t>其他</w:t>
            </w:r>
          </w:p>
        </w:tc>
        <w:tc>
          <w:tcPr>
            <w:tcW w:w="8298" w:type="dxa"/>
            <w:vAlign w:val="center"/>
          </w:tcPr>
          <w:p>
            <w:pPr>
              <w:ind w:firstLine="480"/>
              <w:jc w:val="center"/>
              <w:rPr>
                <w:kern w:val="0"/>
                <w:szCs w:val="21"/>
              </w:rPr>
            </w:pPr>
            <w:r>
              <w:rPr>
                <w:rFonts w:hint="eastAsia"/>
              </w:rPr>
              <w:t>本项目</w:t>
            </w:r>
            <w:r>
              <w:t>不设污染物排放总量控制指标。</w:t>
            </w:r>
          </w:p>
        </w:tc>
      </w:tr>
    </w:tbl>
    <w:p>
      <w:pPr>
        <w:ind w:firstLine="600"/>
        <w:jc w:val="center"/>
        <w:rPr>
          <w:rFonts w:eastAsia="黑体"/>
          <w:snapToGrid w:val="0"/>
          <w:sz w:val="30"/>
          <w:szCs w:val="30"/>
        </w:rPr>
      </w:pPr>
      <w:bookmarkStart w:id="29" w:name="_Toc26161"/>
      <w:r>
        <w:rPr>
          <w:rFonts w:eastAsia="黑体"/>
          <w:snapToGrid w:val="0"/>
          <w:sz w:val="30"/>
          <w:szCs w:val="30"/>
        </w:rPr>
        <w:br w:type="page"/>
      </w:r>
      <w:r>
        <w:rPr>
          <w:rFonts w:eastAsia="黑体"/>
          <w:snapToGrid w:val="0"/>
          <w:sz w:val="30"/>
          <w:szCs w:val="30"/>
        </w:rPr>
        <w:t>四、生态环境影响分析</w:t>
      </w:r>
      <w:bookmarkEnd w:id="29"/>
    </w:p>
    <w:tbl>
      <w:tblPr>
        <w:tblStyle w:val="14"/>
        <w:tblW w:w="92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9"/>
        <w:gridCol w:w="83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57" w:hRule="atLeast"/>
          <w:jc w:val="center"/>
        </w:trPr>
        <w:tc>
          <w:tcPr>
            <w:tcW w:w="879" w:type="dxa"/>
            <w:tcBorders>
              <w:top w:val="single" w:color="auto" w:sz="4" w:space="0"/>
              <w:left w:val="single" w:color="auto" w:sz="4" w:space="0"/>
            </w:tcBorders>
            <w:tcMar>
              <w:left w:w="28" w:type="dxa"/>
              <w:right w:w="28" w:type="dxa"/>
            </w:tcMar>
            <w:vAlign w:val="center"/>
          </w:tcPr>
          <w:p>
            <w:pPr>
              <w:ind w:firstLine="0" w:firstLineChars="0"/>
              <w:jc w:val="center"/>
              <w:rPr>
                <w:bCs/>
                <w:sz w:val="21"/>
                <w:szCs w:val="21"/>
              </w:rPr>
            </w:pPr>
            <w:bookmarkStart w:id="30" w:name="_Hlk49796138"/>
            <w:r>
              <w:rPr>
                <w:bCs/>
                <w:spacing w:val="10"/>
              </w:rPr>
              <w:t>施工期生态环境影响分析</w:t>
            </w:r>
            <w:bookmarkEnd w:id="30"/>
          </w:p>
        </w:tc>
        <w:tc>
          <w:tcPr>
            <w:tcW w:w="8363" w:type="dxa"/>
            <w:tcBorders>
              <w:top w:val="single" w:color="auto" w:sz="4" w:space="0"/>
              <w:right w:val="single" w:color="auto" w:sz="4" w:space="0"/>
            </w:tcBorders>
          </w:tcPr>
          <w:p>
            <w:pPr>
              <w:pStyle w:val="18"/>
            </w:pPr>
            <w:bookmarkStart w:id="31" w:name="_Toc4968"/>
            <w:r>
              <w:t>施工期主要污染环节和因素：</w:t>
            </w:r>
            <w:bookmarkEnd w:id="31"/>
          </w:p>
          <w:p>
            <w:pPr>
              <w:pStyle w:val="21"/>
            </w:pPr>
            <w:r>
              <w:rPr>
                <w:rFonts w:hint="eastAsia"/>
              </w:rPr>
              <w:t>本项目对环境造成的生态影响主要为井场、道路和生活营地的建设会占用土地，造成土壤扰动、破坏地表植被，并影响野生动物。</w:t>
            </w:r>
          </w:p>
          <w:p>
            <w:pPr>
              <w:pStyle w:val="21"/>
            </w:pPr>
            <w:r>
              <w:rPr>
                <w:rFonts w:hint="eastAsia"/>
              </w:rPr>
              <w:t>本项目对环境的污染主要存在于钻井期、试油期三废排放。本项目污染源按作业持续时间分为临时性污染源、连续性污染源和间歇性污染源三大类，主要污染物为：钻井岩屑、钻井泥浆等，见</w:t>
            </w:r>
            <w:r>
              <w:rPr>
                <w:rFonts w:ascii="Times New Roman" w:hAnsi="Times New Roman"/>
              </w:rPr>
              <w:t>表4-1。</w:t>
            </w:r>
          </w:p>
          <w:p>
            <w:pPr>
              <w:pStyle w:val="2"/>
              <w:spacing w:line="360" w:lineRule="auto"/>
            </w:pPr>
            <w:r>
              <w:t>表4-1  本项目主要环境影响因素</w:t>
            </w:r>
          </w:p>
          <w:tbl>
            <w:tblPr>
              <w:tblStyle w:val="14"/>
              <w:tblW w:w="8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1412"/>
              <w:gridCol w:w="2856"/>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b/>
                      <w:bCs/>
                    </w:rPr>
                  </w:pPr>
                  <w:r>
                    <w:rPr>
                      <w:rFonts w:ascii="Times New Roman" w:hAnsi="Times New Roman"/>
                      <w:b/>
                      <w:bCs/>
                    </w:rPr>
                    <w:t>阶段</w:t>
                  </w:r>
                </w:p>
              </w:tc>
              <w:tc>
                <w:tcPr>
                  <w:tcW w:w="1412"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b/>
                      <w:bCs/>
                    </w:rPr>
                  </w:pPr>
                  <w:r>
                    <w:rPr>
                      <w:rFonts w:ascii="Times New Roman" w:hAnsi="Times New Roman"/>
                      <w:b/>
                      <w:bCs/>
                    </w:rPr>
                    <w:t>污染物</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b/>
                      <w:bCs/>
                    </w:rPr>
                  </w:pPr>
                  <w:r>
                    <w:rPr>
                      <w:rFonts w:ascii="Times New Roman" w:hAnsi="Times New Roman"/>
                      <w:b/>
                      <w:bCs/>
                    </w:rPr>
                    <w:t>产污环节</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b/>
                      <w:bCs/>
                    </w:rPr>
                  </w:pPr>
                  <w:r>
                    <w:rPr>
                      <w:rFonts w:ascii="Times New Roman" w:hAnsi="Times New Roman"/>
                      <w:b/>
                      <w:bCs/>
                    </w:rPr>
                    <w:t>污染因子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restart"/>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钻井期</w:t>
                  </w:r>
                </w:p>
              </w:tc>
              <w:tc>
                <w:tcPr>
                  <w:tcW w:w="1412" w:type="dxa"/>
                  <w:vMerge w:val="restart"/>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废气</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柴油机和柴油发电机</w:t>
                  </w:r>
                  <w:r>
                    <w:rPr>
                      <w:rFonts w:hint="eastAsia" w:ascii="Times New Roman" w:hAnsi="Times New Roman"/>
                    </w:rPr>
                    <w:t>废气</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SO</w:t>
                  </w:r>
                  <w:r>
                    <w:rPr>
                      <w:rFonts w:ascii="Times New Roman" w:hAnsi="Times New Roman"/>
                      <w:vertAlign w:val="subscript"/>
                    </w:rPr>
                    <w:t>2</w:t>
                  </w:r>
                  <w:r>
                    <w:rPr>
                      <w:rFonts w:ascii="Times New Roman" w:hAnsi="Times New Roman"/>
                    </w:rPr>
                    <w:t>、NOx、总烃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vMerge w:val="continue"/>
                  <w:tcBorders>
                    <w:left w:val="single" w:color="auto" w:sz="4" w:space="0"/>
                    <w:bottom w:val="single" w:color="auto" w:sz="4" w:space="0"/>
                    <w:right w:val="single" w:color="auto" w:sz="4" w:space="0"/>
                  </w:tcBorders>
                  <w:vAlign w:val="center"/>
                </w:tcPr>
                <w:p>
                  <w:pPr>
                    <w:pStyle w:val="24"/>
                    <w:rPr>
                      <w:rFonts w:ascii="Times New Roman" w:hAnsi="Times New Roman"/>
                    </w:rPr>
                  </w:pP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施工扬尘</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TSP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vMerge w:val="continue"/>
                  <w:tcBorders>
                    <w:left w:val="single" w:color="auto" w:sz="4" w:space="0"/>
                    <w:bottom w:val="single" w:color="auto" w:sz="4" w:space="0"/>
                    <w:right w:val="single" w:color="auto" w:sz="4" w:space="0"/>
                  </w:tcBorders>
                  <w:vAlign w:val="center"/>
                </w:tcPr>
                <w:p>
                  <w:pPr>
                    <w:pStyle w:val="24"/>
                    <w:rPr>
                      <w:rFonts w:ascii="Times New Roman" w:hAnsi="Times New Roman"/>
                    </w:rPr>
                  </w:pP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施工机械废气、运输车辆尾气</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CO、NOx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废水</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生活营地生活污水</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COD、SS、氨氮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噪声</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机械设备、施工作业、车辆运输</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等效连续A声级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vMerge w:val="restart"/>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固体废物</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钻井井场</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钻井泥浆、钻井岩屑</w:t>
                  </w:r>
                  <w:r>
                    <w:rPr>
                      <w:rFonts w:hint="eastAsia" w:ascii="Times New Roman" w:hAnsi="Times New Roman"/>
                    </w:rPr>
                    <w:t>、机械设备废油、废弃防渗膜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continue"/>
                  <w:tcBorders>
                    <w:left w:val="single" w:color="auto" w:sz="4" w:space="0"/>
                    <w:bottom w:val="single" w:color="auto" w:sz="4" w:space="0"/>
                    <w:right w:val="single" w:color="auto" w:sz="4" w:space="0"/>
                  </w:tcBorders>
                  <w:vAlign w:val="center"/>
                </w:tcPr>
                <w:p>
                  <w:pPr>
                    <w:pStyle w:val="24"/>
                    <w:rPr>
                      <w:rFonts w:ascii="Times New Roman" w:hAnsi="Times New Roman"/>
                    </w:rPr>
                  </w:pPr>
                </w:p>
              </w:tc>
              <w:tc>
                <w:tcPr>
                  <w:tcW w:w="1412" w:type="dxa"/>
                  <w:vMerge w:val="continue"/>
                  <w:tcBorders>
                    <w:left w:val="single" w:color="auto" w:sz="4" w:space="0"/>
                    <w:bottom w:val="single" w:color="auto" w:sz="4" w:space="0"/>
                    <w:right w:val="single" w:color="auto" w:sz="4" w:space="0"/>
                  </w:tcBorders>
                  <w:vAlign w:val="center"/>
                </w:tcPr>
                <w:p>
                  <w:pPr>
                    <w:pStyle w:val="24"/>
                    <w:rPr>
                      <w:rFonts w:ascii="Times New Roman" w:hAnsi="Times New Roman"/>
                    </w:rPr>
                  </w:pP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生活营地</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生活垃圾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restart"/>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试油期</w:t>
                  </w:r>
                </w:p>
              </w:tc>
              <w:tc>
                <w:tcPr>
                  <w:tcW w:w="1412" w:type="dxa"/>
                  <w:vMerge w:val="restart"/>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废气</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伴生气燃烧放空</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SO</w:t>
                  </w:r>
                  <w:r>
                    <w:rPr>
                      <w:rFonts w:ascii="Times New Roman" w:hAnsi="Times New Roman"/>
                      <w:vertAlign w:val="subscript"/>
                    </w:rPr>
                    <w:t>2</w:t>
                  </w:r>
                  <w:r>
                    <w:rPr>
                      <w:rFonts w:ascii="Times New Roman" w:hAnsi="Times New Roman"/>
                    </w:rPr>
                    <w:t>、NOx、烟尘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vMerge w:val="continue"/>
                  <w:tcBorders>
                    <w:left w:val="single" w:color="auto" w:sz="4" w:space="0"/>
                    <w:right w:val="single" w:color="auto" w:sz="4" w:space="0"/>
                  </w:tcBorders>
                  <w:vAlign w:val="center"/>
                </w:tcPr>
                <w:p>
                  <w:pPr>
                    <w:pStyle w:val="24"/>
                    <w:rPr>
                      <w:rFonts w:ascii="Times New Roman" w:hAnsi="Times New Roman"/>
                    </w:rPr>
                  </w:pP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柴油发电机</w:t>
                  </w:r>
                  <w:r>
                    <w:rPr>
                      <w:rFonts w:hint="eastAsia"/>
                    </w:rPr>
                    <w:t>废气</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SO</w:t>
                  </w:r>
                  <w:r>
                    <w:rPr>
                      <w:rFonts w:ascii="Times New Roman" w:hAnsi="Times New Roman"/>
                      <w:vertAlign w:val="subscript"/>
                    </w:rPr>
                    <w:t>2</w:t>
                  </w:r>
                  <w:r>
                    <w:rPr>
                      <w:rFonts w:ascii="Times New Roman" w:hAnsi="Times New Roman"/>
                    </w:rPr>
                    <w:t>、NOx、总烃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vMerge w:val="continue"/>
                  <w:tcBorders>
                    <w:left w:val="single" w:color="auto" w:sz="4" w:space="0"/>
                    <w:right w:val="single" w:color="auto" w:sz="4" w:space="0"/>
                  </w:tcBorders>
                  <w:vAlign w:val="center"/>
                </w:tcPr>
                <w:p>
                  <w:pPr>
                    <w:pStyle w:val="24"/>
                    <w:rPr>
                      <w:rFonts w:ascii="Times New Roman" w:hAnsi="Times New Roman"/>
                    </w:rPr>
                  </w:pP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临时储罐废气和采出液装卸废气</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非甲烷总烃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废水</w:t>
                  </w:r>
                </w:p>
              </w:tc>
              <w:tc>
                <w:tcPr>
                  <w:tcW w:w="2856" w:type="dxa"/>
                  <w:tcBorders>
                    <w:top w:val="single" w:color="auto" w:sz="4" w:space="0"/>
                    <w:left w:val="single" w:color="auto" w:sz="4" w:space="0"/>
                    <w:right w:val="single" w:color="auto" w:sz="4" w:space="0"/>
                  </w:tcBorders>
                  <w:vAlign w:val="center"/>
                </w:tcPr>
                <w:p>
                  <w:pPr>
                    <w:pStyle w:val="24"/>
                    <w:rPr>
                      <w:rFonts w:ascii="Times New Roman" w:hAnsi="Times New Roman"/>
                    </w:rPr>
                  </w:pPr>
                  <w:r>
                    <w:rPr>
                      <w:rFonts w:ascii="Times New Roman" w:hAnsi="Times New Roman"/>
                    </w:rPr>
                    <w:t>洗井废水</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SS、石油类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395" w:type="dxa"/>
                  <w:vMerge w:val="continue"/>
                  <w:tcBorders>
                    <w:left w:val="single" w:color="auto" w:sz="4" w:space="0"/>
                    <w:right w:val="single" w:color="auto" w:sz="4" w:space="0"/>
                  </w:tcBorders>
                  <w:vAlign w:val="center"/>
                </w:tcPr>
                <w:p>
                  <w:pPr>
                    <w:pStyle w:val="24"/>
                    <w:rPr>
                      <w:rFonts w:ascii="Times New Roman" w:hAnsi="Times New Roman"/>
                    </w:rPr>
                  </w:pPr>
                </w:p>
              </w:tc>
              <w:tc>
                <w:tcPr>
                  <w:tcW w:w="1412"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噪声</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动力设备、井下作业、车辆运输</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t>等效连续A声级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395" w:type="dxa"/>
                  <w:vMerge w:val="continue"/>
                  <w:tcBorders>
                    <w:left w:val="single" w:color="auto" w:sz="4" w:space="0"/>
                    <w:bottom w:val="single" w:color="auto" w:sz="4" w:space="0"/>
                    <w:right w:val="single" w:color="auto" w:sz="4" w:space="0"/>
                  </w:tcBorders>
                  <w:vAlign w:val="center"/>
                </w:tcPr>
                <w:p>
                  <w:pPr>
                    <w:pStyle w:val="24"/>
                    <w:rPr>
                      <w:rFonts w:ascii="Times New Roman" w:hAnsi="Times New Roman"/>
                    </w:rPr>
                  </w:pPr>
                </w:p>
              </w:tc>
              <w:tc>
                <w:tcPr>
                  <w:tcW w:w="1412"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固废</w:t>
                  </w:r>
                </w:p>
              </w:tc>
              <w:tc>
                <w:tcPr>
                  <w:tcW w:w="2856"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ascii="Times New Roman" w:hAnsi="Times New Roman"/>
                    </w:rPr>
                    <w:t>井下作业</w:t>
                  </w:r>
                </w:p>
              </w:tc>
              <w:tc>
                <w:tcPr>
                  <w:tcW w:w="2475" w:type="dxa"/>
                  <w:tcBorders>
                    <w:top w:val="single" w:color="auto" w:sz="4" w:space="0"/>
                    <w:left w:val="single" w:color="auto" w:sz="4" w:space="0"/>
                    <w:bottom w:val="single" w:color="auto" w:sz="4" w:space="0"/>
                    <w:right w:val="single" w:color="auto" w:sz="4" w:space="0"/>
                  </w:tcBorders>
                  <w:vAlign w:val="center"/>
                </w:tcPr>
                <w:p>
                  <w:pPr>
                    <w:pStyle w:val="24"/>
                    <w:rPr>
                      <w:rFonts w:ascii="Times New Roman" w:hAnsi="Times New Roman"/>
                    </w:rPr>
                  </w:pPr>
                  <w:r>
                    <w:rPr>
                      <w:rFonts w:hint="eastAsia" w:ascii="Times New Roman" w:hAnsi="Times New Roman"/>
                    </w:rPr>
                    <w:t>落地油泥</w:t>
                  </w:r>
                  <w:r>
                    <w:rPr>
                      <w:rFonts w:ascii="Times New Roman" w:hAnsi="Times New Roman"/>
                    </w:rPr>
                    <w:t>、压裂返排液</w:t>
                  </w:r>
                  <w:r>
                    <w:rPr>
                      <w:rFonts w:hint="eastAsia" w:ascii="Times New Roman" w:hAnsi="Times New Roman"/>
                    </w:rPr>
                    <w:t>、机械设备废油、废弃防渗膜</w:t>
                  </w:r>
                </w:p>
              </w:tc>
            </w:tr>
          </w:tbl>
          <w:p>
            <w:pPr>
              <w:pStyle w:val="18"/>
            </w:pPr>
            <w:bookmarkStart w:id="32" w:name="_Toc20040"/>
            <w:r>
              <w:t>1 施工期废气影响分析</w:t>
            </w:r>
            <w:bookmarkEnd w:id="32"/>
          </w:p>
          <w:p>
            <w:pPr>
              <w:ind w:firstLine="480"/>
            </w:pPr>
            <w:bookmarkStart w:id="33" w:name="_Hlk2526104"/>
            <w:r>
              <w:t>本项目施工期废气主要来源于钻井期的柴油机组燃烧废气、施工扬尘、机械排放废气和运输车辆尾气，试油期的柴油机组燃烧废气、伴生气燃烧废气、临时储罐废气和采出液装卸废气。</w:t>
            </w:r>
          </w:p>
          <w:p>
            <w:pPr>
              <w:ind w:firstLine="480"/>
            </w:pPr>
            <w:r>
              <w:t>（1）柴油机组燃烧废气</w:t>
            </w:r>
          </w:p>
          <w:p>
            <w:pPr>
              <w:pStyle w:val="21"/>
              <w:rPr>
                <w:rFonts w:ascii="Times New Roman" w:hAnsi="Times New Roman"/>
              </w:rPr>
            </w:pPr>
            <w:r>
              <w:rPr>
                <w:rFonts w:ascii="Times New Roman" w:hAnsi="Times New Roman"/>
              </w:rPr>
              <w:t>本项目钻井期及试油期柴油耗量见表4-2。</w:t>
            </w:r>
          </w:p>
          <w:p>
            <w:pPr>
              <w:pStyle w:val="2"/>
              <w:spacing w:line="360" w:lineRule="auto"/>
              <w:ind w:firstLine="422"/>
            </w:pPr>
            <w:r>
              <w:t>表4-2  钻井期和油气测试期消耗柴油量</w:t>
            </w:r>
          </w:p>
          <w:tbl>
            <w:tblPr>
              <w:tblStyle w:val="14"/>
              <w:tblW w:w="8145" w:type="dxa"/>
              <w:tblInd w:w="0" w:type="dxa"/>
              <w:tblLayout w:type="fixed"/>
              <w:tblCellMar>
                <w:top w:w="0" w:type="dxa"/>
                <w:left w:w="108" w:type="dxa"/>
                <w:bottom w:w="0" w:type="dxa"/>
                <w:right w:w="108" w:type="dxa"/>
              </w:tblCellMar>
            </w:tblPr>
            <w:tblGrid>
              <w:gridCol w:w="949"/>
              <w:gridCol w:w="3314"/>
              <w:gridCol w:w="1891"/>
              <w:gridCol w:w="1991"/>
            </w:tblGrid>
            <w:tr>
              <w:tblPrEx>
                <w:tblCellMar>
                  <w:top w:w="0" w:type="dxa"/>
                  <w:left w:w="108" w:type="dxa"/>
                  <w:bottom w:w="0" w:type="dxa"/>
                  <w:right w:w="108" w:type="dxa"/>
                </w:tblCellMar>
              </w:tblPrEx>
              <w:trPr>
                <w:trHeight w:val="600" w:hRule="atLeast"/>
              </w:trPr>
              <w:tc>
                <w:tcPr>
                  <w:tcW w:w="582" w:type="pct"/>
                  <w:tcBorders>
                    <w:top w:val="single" w:color="auto" w:sz="4" w:space="0"/>
                    <w:left w:val="single" w:color="auto" w:sz="4" w:space="0"/>
                    <w:bottom w:val="single" w:color="auto" w:sz="4" w:space="0"/>
                    <w:right w:val="single" w:color="auto" w:sz="4" w:space="0"/>
                  </w:tcBorders>
                  <w:noWrap/>
                  <w:vAlign w:val="center"/>
                </w:tcPr>
                <w:p>
                  <w:pPr>
                    <w:pStyle w:val="20"/>
                    <w:rPr>
                      <w:b/>
                      <w:bCs/>
                    </w:rPr>
                  </w:pPr>
                  <w:r>
                    <w:rPr>
                      <w:b/>
                      <w:bCs/>
                    </w:rPr>
                    <w:t>阶段</w:t>
                  </w:r>
                </w:p>
              </w:tc>
              <w:tc>
                <w:tcPr>
                  <w:tcW w:w="2034" w:type="pct"/>
                  <w:tcBorders>
                    <w:top w:val="single" w:color="auto" w:sz="4" w:space="0"/>
                    <w:left w:val="single" w:color="auto" w:sz="4" w:space="0"/>
                    <w:bottom w:val="single" w:color="auto" w:sz="4" w:space="0"/>
                    <w:right w:val="single" w:color="auto" w:sz="4" w:space="0"/>
                  </w:tcBorders>
                  <w:noWrap/>
                  <w:vAlign w:val="center"/>
                </w:tcPr>
                <w:p>
                  <w:pPr>
                    <w:pStyle w:val="20"/>
                    <w:rPr>
                      <w:b/>
                      <w:bCs/>
                    </w:rPr>
                  </w:pPr>
                  <w:r>
                    <w:rPr>
                      <w:b/>
                      <w:bCs/>
                    </w:rPr>
                    <w:t>周期（d）</w:t>
                  </w:r>
                </w:p>
              </w:tc>
              <w:tc>
                <w:tcPr>
                  <w:tcW w:w="1160" w:type="pct"/>
                  <w:tcBorders>
                    <w:top w:val="single" w:color="auto" w:sz="4" w:space="0"/>
                    <w:left w:val="single" w:color="auto" w:sz="4" w:space="0"/>
                    <w:bottom w:val="single" w:color="auto" w:sz="4" w:space="0"/>
                    <w:right w:val="single" w:color="auto" w:sz="4" w:space="0"/>
                  </w:tcBorders>
                  <w:noWrap/>
                  <w:vAlign w:val="center"/>
                </w:tcPr>
                <w:p>
                  <w:pPr>
                    <w:pStyle w:val="20"/>
                    <w:rPr>
                      <w:b/>
                      <w:bCs/>
                    </w:rPr>
                  </w:pPr>
                  <w:r>
                    <w:rPr>
                      <w:b/>
                      <w:bCs/>
                    </w:rPr>
                    <w:t>柴油用量（t/d）</w:t>
                  </w:r>
                </w:p>
              </w:tc>
              <w:tc>
                <w:tcPr>
                  <w:tcW w:w="1222" w:type="pct"/>
                  <w:tcBorders>
                    <w:top w:val="single" w:color="000000" w:sz="4" w:space="0"/>
                    <w:left w:val="single" w:color="auto" w:sz="4" w:space="0"/>
                    <w:right w:val="single" w:color="auto" w:sz="4" w:space="0"/>
                  </w:tcBorders>
                  <w:noWrap/>
                  <w:vAlign w:val="center"/>
                </w:tcPr>
                <w:p>
                  <w:pPr>
                    <w:pStyle w:val="20"/>
                    <w:rPr>
                      <w:b/>
                      <w:bCs/>
                    </w:rPr>
                  </w:pPr>
                  <w:r>
                    <w:rPr>
                      <w:b/>
                      <w:bCs/>
                    </w:rPr>
                    <w:t>柴油消耗总量（t）</w:t>
                  </w:r>
                </w:p>
              </w:tc>
            </w:tr>
            <w:tr>
              <w:tblPrEx>
                <w:tblCellMar>
                  <w:top w:w="0" w:type="dxa"/>
                  <w:left w:w="108" w:type="dxa"/>
                  <w:bottom w:w="0" w:type="dxa"/>
                  <w:right w:w="108" w:type="dxa"/>
                </w:tblCellMar>
              </w:tblPrEx>
              <w:trPr>
                <w:trHeight w:val="300" w:hRule="atLeast"/>
              </w:trPr>
              <w:tc>
                <w:tcPr>
                  <w:tcW w:w="582" w:type="pct"/>
                  <w:tcBorders>
                    <w:top w:val="single" w:color="auto" w:sz="4" w:space="0"/>
                    <w:left w:val="single" w:color="auto" w:sz="4" w:space="0"/>
                    <w:bottom w:val="single" w:color="auto" w:sz="4" w:space="0"/>
                    <w:right w:val="single" w:color="auto" w:sz="4" w:space="0"/>
                  </w:tcBorders>
                  <w:noWrap/>
                  <w:vAlign w:val="center"/>
                </w:tcPr>
                <w:p>
                  <w:pPr>
                    <w:pStyle w:val="20"/>
                  </w:pPr>
                  <w:r>
                    <w:t>钻井期</w:t>
                  </w:r>
                </w:p>
              </w:tc>
              <w:tc>
                <w:tcPr>
                  <w:tcW w:w="2034" w:type="pct"/>
                  <w:tcBorders>
                    <w:top w:val="single" w:color="auto" w:sz="4" w:space="0"/>
                    <w:left w:val="single" w:color="auto" w:sz="4" w:space="0"/>
                    <w:bottom w:val="single" w:color="auto" w:sz="4" w:space="0"/>
                    <w:right w:val="single" w:color="auto" w:sz="4" w:space="0"/>
                  </w:tcBorders>
                  <w:noWrap/>
                  <w:vAlign w:val="center"/>
                </w:tcPr>
                <w:p>
                  <w:pPr>
                    <w:pStyle w:val="20"/>
                  </w:pPr>
                  <w:r>
                    <w:rPr>
                      <w:rFonts w:hint="eastAsia"/>
                    </w:rPr>
                    <w:t>90</w:t>
                  </w:r>
                </w:p>
              </w:tc>
              <w:tc>
                <w:tcPr>
                  <w:tcW w:w="1160" w:type="pct"/>
                  <w:tcBorders>
                    <w:top w:val="single" w:color="auto" w:sz="4" w:space="0"/>
                    <w:left w:val="single" w:color="auto" w:sz="4" w:space="0"/>
                    <w:bottom w:val="single" w:color="auto" w:sz="4" w:space="0"/>
                    <w:right w:val="single" w:color="auto" w:sz="4" w:space="0"/>
                  </w:tcBorders>
                  <w:noWrap/>
                  <w:vAlign w:val="center"/>
                </w:tcPr>
                <w:p>
                  <w:pPr>
                    <w:pStyle w:val="20"/>
                  </w:pPr>
                  <w:r>
                    <w:t>2</w:t>
                  </w:r>
                </w:p>
              </w:tc>
              <w:tc>
                <w:tcPr>
                  <w:tcW w:w="1222" w:type="pct"/>
                  <w:tcBorders>
                    <w:top w:val="single" w:color="000000" w:sz="4" w:space="0"/>
                    <w:left w:val="single" w:color="auto" w:sz="4" w:space="0"/>
                    <w:bottom w:val="single" w:color="000000" w:sz="4" w:space="0"/>
                    <w:right w:val="single" w:color="auto" w:sz="4" w:space="0"/>
                  </w:tcBorders>
                  <w:noWrap/>
                  <w:vAlign w:val="center"/>
                </w:tcPr>
                <w:p>
                  <w:pPr>
                    <w:pStyle w:val="20"/>
                  </w:pPr>
                  <w:r>
                    <w:rPr>
                      <w:rFonts w:hint="eastAsia"/>
                    </w:rPr>
                    <w:t>180</w:t>
                  </w:r>
                </w:p>
              </w:tc>
            </w:tr>
            <w:tr>
              <w:tblPrEx>
                <w:tblCellMar>
                  <w:top w:w="0" w:type="dxa"/>
                  <w:left w:w="108" w:type="dxa"/>
                  <w:bottom w:w="0" w:type="dxa"/>
                  <w:right w:w="108" w:type="dxa"/>
                </w:tblCellMar>
              </w:tblPrEx>
              <w:trPr>
                <w:trHeight w:val="300" w:hRule="atLeast"/>
              </w:trPr>
              <w:tc>
                <w:tcPr>
                  <w:tcW w:w="582" w:type="pct"/>
                  <w:tcBorders>
                    <w:top w:val="single" w:color="auto" w:sz="4" w:space="0"/>
                    <w:left w:val="single" w:color="auto" w:sz="4" w:space="0"/>
                    <w:bottom w:val="single" w:color="auto" w:sz="4" w:space="0"/>
                    <w:right w:val="single" w:color="auto" w:sz="4" w:space="0"/>
                  </w:tcBorders>
                  <w:noWrap/>
                  <w:vAlign w:val="center"/>
                </w:tcPr>
                <w:p>
                  <w:pPr>
                    <w:pStyle w:val="20"/>
                  </w:pPr>
                  <w:r>
                    <w:t>试油期</w:t>
                  </w:r>
                </w:p>
              </w:tc>
              <w:tc>
                <w:tcPr>
                  <w:tcW w:w="2034" w:type="pct"/>
                  <w:tcBorders>
                    <w:top w:val="single" w:color="auto" w:sz="4" w:space="0"/>
                    <w:left w:val="single" w:color="auto" w:sz="4" w:space="0"/>
                    <w:bottom w:val="single" w:color="auto" w:sz="4" w:space="0"/>
                    <w:right w:val="single" w:color="auto" w:sz="4" w:space="0"/>
                  </w:tcBorders>
                  <w:noWrap/>
                  <w:vAlign w:val="center"/>
                </w:tcPr>
                <w:p>
                  <w:pPr>
                    <w:pStyle w:val="20"/>
                  </w:pPr>
                  <w:r>
                    <w:t>单井</w:t>
                  </w:r>
                  <w:r>
                    <w:rPr>
                      <w:rFonts w:hint="eastAsia"/>
                    </w:rPr>
                    <w:t>试油</w:t>
                  </w:r>
                  <w:r>
                    <w:t>180d，</w:t>
                  </w:r>
                  <w:r>
                    <w:rPr>
                      <w:rFonts w:hint="eastAsia"/>
                    </w:rPr>
                    <w:t>3</w:t>
                  </w:r>
                  <w:r>
                    <w:t>口井</w:t>
                  </w:r>
                  <w:r>
                    <w:rPr>
                      <w:rFonts w:hint="eastAsia"/>
                    </w:rPr>
                    <w:t>共计540d</w:t>
                  </w:r>
                </w:p>
              </w:tc>
              <w:tc>
                <w:tcPr>
                  <w:tcW w:w="1160" w:type="pct"/>
                  <w:tcBorders>
                    <w:top w:val="single" w:color="auto" w:sz="4" w:space="0"/>
                    <w:left w:val="single" w:color="auto" w:sz="4" w:space="0"/>
                    <w:bottom w:val="single" w:color="auto" w:sz="4" w:space="0"/>
                    <w:right w:val="single" w:color="auto" w:sz="4" w:space="0"/>
                  </w:tcBorders>
                  <w:noWrap/>
                  <w:vAlign w:val="center"/>
                </w:tcPr>
                <w:p>
                  <w:pPr>
                    <w:pStyle w:val="20"/>
                  </w:pPr>
                  <w:r>
                    <w:t>0.16</w:t>
                  </w:r>
                </w:p>
              </w:tc>
              <w:tc>
                <w:tcPr>
                  <w:tcW w:w="1222" w:type="pct"/>
                  <w:tcBorders>
                    <w:top w:val="single" w:color="000000" w:sz="4" w:space="0"/>
                    <w:left w:val="single" w:color="auto" w:sz="4" w:space="0"/>
                    <w:bottom w:val="single" w:color="000000" w:sz="4" w:space="0"/>
                    <w:right w:val="single" w:color="auto" w:sz="4" w:space="0"/>
                  </w:tcBorders>
                  <w:noWrap/>
                  <w:vAlign w:val="center"/>
                </w:tcPr>
                <w:p>
                  <w:pPr>
                    <w:pStyle w:val="20"/>
                  </w:pPr>
                  <w:r>
                    <w:rPr>
                      <w:rFonts w:hint="eastAsia"/>
                    </w:rPr>
                    <w:t>86.4</w:t>
                  </w:r>
                </w:p>
              </w:tc>
            </w:tr>
            <w:tr>
              <w:tblPrEx>
                <w:tblCellMar>
                  <w:top w:w="0" w:type="dxa"/>
                  <w:left w:w="108" w:type="dxa"/>
                  <w:bottom w:w="0" w:type="dxa"/>
                  <w:right w:w="108" w:type="dxa"/>
                </w:tblCellMar>
              </w:tblPrEx>
              <w:trPr>
                <w:trHeight w:val="300" w:hRule="atLeast"/>
              </w:trPr>
              <w:tc>
                <w:tcPr>
                  <w:tcW w:w="3777" w:type="pct"/>
                  <w:gridSpan w:val="3"/>
                  <w:tcBorders>
                    <w:top w:val="single" w:color="auto" w:sz="4" w:space="0"/>
                    <w:left w:val="single" w:color="auto" w:sz="4" w:space="0"/>
                    <w:bottom w:val="single" w:color="auto" w:sz="4" w:space="0"/>
                    <w:right w:val="single" w:color="auto" w:sz="4" w:space="0"/>
                  </w:tcBorders>
                  <w:noWrap/>
                  <w:vAlign w:val="center"/>
                </w:tcPr>
                <w:p>
                  <w:pPr>
                    <w:pStyle w:val="20"/>
                  </w:pPr>
                  <w:r>
                    <w:t>总计</w:t>
                  </w:r>
                </w:p>
              </w:tc>
              <w:tc>
                <w:tcPr>
                  <w:tcW w:w="1222" w:type="pct"/>
                  <w:tcBorders>
                    <w:top w:val="single" w:color="000000" w:sz="4" w:space="0"/>
                    <w:left w:val="single" w:color="auto" w:sz="4" w:space="0"/>
                    <w:bottom w:val="single" w:color="000000" w:sz="4" w:space="0"/>
                    <w:right w:val="single" w:color="auto" w:sz="4" w:space="0"/>
                  </w:tcBorders>
                  <w:noWrap/>
                  <w:vAlign w:val="center"/>
                </w:tcPr>
                <w:p>
                  <w:pPr>
                    <w:pStyle w:val="20"/>
                  </w:pPr>
                  <w:r>
                    <w:rPr>
                      <w:rFonts w:hint="eastAsia"/>
                    </w:rPr>
                    <w:t>266.4</w:t>
                  </w:r>
                </w:p>
              </w:tc>
            </w:tr>
          </w:tbl>
          <w:p>
            <w:pPr>
              <w:pStyle w:val="21"/>
              <w:rPr>
                <w:rFonts w:ascii="Times New Roman" w:hAnsi="Times New Roman"/>
              </w:rPr>
            </w:pPr>
            <w:r>
              <w:rPr>
                <w:rFonts w:ascii="Times New Roman" w:hAnsi="Times New Roman"/>
              </w:rPr>
              <w:t>根据《非道路移动污染源排放清单编制技术指南》，以及参照《车用柴油》（GB19147-2016）规定，柴油中硫的含量≤10mg/kg。在此按柴油中硫含量为10mg/kg估算，本项目柴油机污染物排放系数及各污染物产生情况详见表4-3。</w:t>
            </w:r>
          </w:p>
          <w:p>
            <w:pPr>
              <w:pStyle w:val="2"/>
              <w:spacing w:line="360" w:lineRule="auto"/>
              <w:ind w:firstLine="422"/>
            </w:pPr>
            <w:r>
              <w:t>表4-3  柴油机污染物排放量</w:t>
            </w:r>
          </w:p>
          <w:tbl>
            <w:tblPr>
              <w:tblStyle w:val="14"/>
              <w:tblW w:w="81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2274"/>
              <w:gridCol w:w="2432"/>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22" w:type="pct"/>
                  <w:noWrap/>
                  <w:vAlign w:val="center"/>
                </w:tcPr>
                <w:p>
                  <w:pPr>
                    <w:pStyle w:val="20"/>
                    <w:rPr>
                      <w:b/>
                      <w:bCs/>
                    </w:rPr>
                  </w:pPr>
                  <w:r>
                    <w:rPr>
                      <w:b/>
                      <w:bCs/>
                    </w:rPr>
                    <w:t>污染物</w:t>
                  </w:r>
                </w:p>
              </w:tc>
              <w:tc>
                <w:tcPr>
                  <w:tcW w:w="1396" w:type="pct"/>
                  <w:noWrap/>
                  <w:vAlign w:val="center"/>
                </w:tcPr>
                <w:p>
                  <w:pPr>
                    <w:pStyle w:val="20"/>
                    <w:rPr>
                      <w:b/>
                      <w:bCs/>
                    </w:rPr>
                  </w:pPr>
                  <w:r>
                    <w:rPr>
                      <w:b/>
                      <w:bCs/>
                    </w:rPr>
                    <w:t>排污系数kg/t</w:t>
                  </w:r>
                </w:p>
              </w:tc>
              <w:tc>
                <w:tcPr>
                  <w:tcW w:w="1492" w:type="pct"/>
                  <w:noWrap/>
                  <w:vAlign w:val="center"/>
                </w:tcPr>
                <w:p>
                  <w:pPr>
                    <w:pStyle w:val="20"/>
                    <w:rPr>
                      <w:b/>
                      <w:bCs/>
                    </w:rPr>
                  </w:pPr>
                  <w:r>
                    <w:rPr>
                      <w:b/>
                      <w:bCs/>
                    </w:rPr>
                    <w:t>柴油用量（t）</w:t>
                  </w:r>
                </w:p>
              </w:tc>
              <w:tc>
                <w:tcPr>
                  <w:tcW w:w="1288" w:type="pct"/>
                  <w:noWrap/>
                  <w:vAlign w:val="center"/>
                </w:tcPr>
                <w:p>
                  <w:pPr>
                    <w:pStyle w:val="20"/>
                    <w:rPr>
                      <w:b/>
                      <w:bCs/>
                    </w:rPr>
                  </w:pPr>
                  <w:r>
                    <w:rPr>
                      <w:b/>
                      <w:bCs/>
                    </w:rPr>
                    <w:t>排放量（t）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22" w:type="pct"/>
                  <w:noWrap/>
                  <w:vAlign w:val="center"/>
                </w:tcPr>
                <w:p>
                  <w:pPr>
                    <w:pStyle w:val="20"/>
                  </w:pPr>
                  <w:r>
                    <w:t>CO</w:t>
                  </w:r>
                </w:p>
              </w:tc>
              <w:tc>
                <w:tcPr>
                  <w:tcW w:w="1396" w:type="pct"/>
                  <w:noWrap/>
                  <w:vAlign w:val="center"/>
                </w:tcPr>
                <w:p>
                  <w:pPr>
                    <w:pStyle w:val="20"/>
                  </w:pPr>
                  <w:r>
                    <w:t>10.722</w:t>
                  </w:r>
                </w:p>
              </w:tc>
              <w:tc>
                <w:tcPr>
                  <w:tcW w:w="1492" w:type="pct"/>
                  <w:vMerge w:val="restart"/>
                  <w:noWrap/>
                  <w:vAlign w:val="center"/>
                </w:tcPr>
                <w:p>
                  <w:pPr>
                    <w:pStyle w:val="20"/>
                  </w:pPr>
                  <w:r>
                    <w:rPr>
                      <w:rFonts w:hint="eastAsia"/>
                    </w:rPr>
                    <w:t>266.4</w:t>
                  </w:r>
                </w:p>
              </w:tc>
              <w:tc>
                <w:tcPr>
                  <w:tcW w:w="1288" w:type="pct"/>
                  <w:noWrap/>
                  <w:vAlign w:val="center"/>
                </w:tcPr>
                <w:p>
                  <w:pPr>
                    <w:pStyle w:val="20"/>
                  </w:pPr>
                  <w:r>
                    <w:rPr>
                      <w:rFonts w:hint="eastAsia"/>
                    </w:rPr>
                    <w:t>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2" w:type="pct"/>
                  <w:noWrap/>
                  <w:vAlign w:val="center"/>
                </w:tcPr>
                <w:p>
                  <w:pPr>
                    <w:pStyle w:val="20"/>
                  </w:pPr>
                  <w:r>
                    <w:t>NOx</w:t>
                  </w:r>
                </w:p>
              </w:tc>
              <w:tc>
                <w:tcPr>
                  <w:tcW w:w="1396" w:type="pct"/>
                  <w:noWrap/>
                  <w:vAlign w:val="center"/>
                </w:tcPr>
                <w:p>
                  <w:pPr>
                    <w:pStyle w:val="20"/>
                  </w:pPr>
                  <w:r>
                    <w:t>32.792</w:t>
                  </w:r>
                </w:p>
              </w:tc>
              <w:tc>
                <w:tcPr>
                  <w:tcW w:w="1492" w:type="pct"/>
                  <w:vMerge w:val="continue"/>
                  <w:noWrap/>
                  <w:vAlign w:val="center"/>
                </w:tcPr>
                <w:p>
                  <w:pPr>
                    <w:pStyle w:val="20"/>
                  </w:pPr>
                </w:p>
              </w:tc>
              <w:tc>
                <w:tcPr>
                  <w:tcW w:w="1288" w:type="pct"/>
                  <w:noWrap/>
                  <w:vAlign w:val="center"/>
                </w:tcPr>
                <w:p>
                  <w:pPr>
                    <w:pStyle w:val="20"/>
                  </w:pPr>
                  <w:r>
                    <w:rPr>
                      <w:rFonts w:hint="eastAsia"/>
                    </w:rPr>
                    <w:t>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22" w:type="pct"/>
                  <w:noWrap/>
                  <w:vAlign w:val="center"/>
                </w:tcPr>
                <w:p>
                  <w:pPr>
                    <w:pStyle w:val="20"/>
                  </w:pPr>
                  <w:r>
                    <w:t>THC</w:t>
                  </w:r>
                </w:p>
              </w:tc>
              <w:tc>
                <w:tcPr>
                  <w:tcW w:w="1396" w:type="pct"/>
                  <w:noWrap/>
                  <w:vAlign w:val="center"/>
                </w:tcPr>
                <w:p>
                  <w:pPr>
                    <w:pStyle w:val="20"/>
                  </w:pPr>
                  <w:r>
                    <w:t>3.385</w:t>
                  </w:r>
                </w:p>
              </w:tc>
              <w:tc>
                <w:tcPr>
                  <w:tcW w:w="1492" w:type="pct"/>
                  <w:vMerge w:val="continue"/>
                  <w:noWrap/>
                  <w:vAlign w:val="center"/>
                </w:tcPr>
                <w:p>
                  <w:pPr>
                    <w:pStyle w:val="20"/>
                  </w:pPr>
                </w:p>
              </w:tc>
              <w:tc>
                <w:tcPr>
                  <w:tcW w:w="1288" w:type="pct"/>
                  <w:noWrap/>
                  <w:vAlign w:val="center"/>
                </w:tcPr>
                <w:p>
                  <w:pPr>
                    <w:pStyle w:val="20"/>
                  </w:pPr>
                  <w:r>
                    <w:rPr>
                      <w:rFonts w:hint="eastAsia"/>
                    </w:rPr>
                    <w:t>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2" w:type="pct"/>
                  <w:noWrap/>
                  <w:vAlign w:val="center"/>
                </w:tcPr>
                <w:p>
                  <w:pPr>
                    <w:pStyle w:val="20"/>
                  </w:pPr>
                  <w:r>
                    <w:t>SO</w:t>
                  </w:r>
                  <w:r>
                    <w:rPr>
                      <w:vertAlign w:val="subscript"/>
                    </w:rPr>
                    <w:t>2</w:t>
                  </w:r>
                </w:p>
              </w:tc>
              <w:tc>
                <w:tcPr>
                  <w:tcW w:w="1396" w:type="pct"/>
                  <w:noWrap/>
                  <w:vAlign w:val="center"/>
                </w:tcPr>
                <w:p>
                  <w:pPr>
                    <w:pStyle w:val="20"/>
                  </w:pPr>
                  <w:r>
                    <w:t>0.02</w:t>
                  </w:r>
                </w:p>
              </w:tc>
              <w:tc>
                <w:tcPr>
                  <w:tcW w:w="1492" w:type="pct"/>
                  <w:vMerge w:val="continue"/>
                  <w:noWrap/>
                  <w:vAlign w:val="center"/>
                </w:tcPr>
                <w:p>
                  <w:pPr>
                    <w:pStyle w:val="20"/>
                  </w:pPr>
                </w:p>
              </w:tc>
              <w:tc>
                <w:tcPr>
                  <w:tcW w:w="1288" w:type="pct"/>
                  <w:noWrap/>
                  <w:vAlign w:val="center"/>
                </w:tcPr>
                <w:p>
                  <w:pPr>
                    <w:pStyle w:val="20"/>
                  </w:pPr>
                  <w:r>
                    <w:t>0.00</w:t>
                  </w:r>
                  <w:r>
                    <w:rPr>
                      <w:rFonts w:hint="eastAsia"/>
                    </w:rPr>
                    <w:t>5</w:t>
                  </w:r>
                </w:p>
              </w:tc>
            </w:tr>
          </w:tbl>
          <w:p>
            <w:pPr>
              <w:ind w:firstLine="480"/>
            </w:pPr>
            <w:r>
              <w:t>本环评要求钻井期和试油期定期对柴油机、柴油发电机等设备进行维护，并且采用高品质的柴油、添加柴油助燃剂等措施，在很大程度上可降低柴油燃烧污染物的排放，减轻对大气环境的影响。钻井期间排放的大气污染物将随钻井工程的结束而消失。</w:t>
            </w:r>
          </w:p>
          <w:p>
            <w:pPr>
              <w:ind w:firstLine="480"/>
            </w:pPr>
            <w:r>
              <w:t>（2）扬尘</w:t>
            </w:r>
          </w:p>
          <w:p>
            <w:pPr>
              <w:ind w:firstLine="480"/>
            </w:pPr>
            <w:r>
              <w:t>施工扬尘污染主要造成大气中TSP值增高，建设期进场道路修建、施工营地及井场场地平整、运输车辆行驶均会产生扬尘，采用洒水降尘，在施工场地实施每天洒水抑尘作业1次，大风天气增加洒水次数，其扬尘造成的污染距离可缩小到20~50m范围，由此施工扬尘对周围环境影响较小。从影响时间、范围和程度来看，钻井施工扬尘对周围大气环境质量影响是有限的。</w:t>
            </w:r>
          </w:p>
          <w:p>
            <w:pPr>
              <w:pStyle w:val="23"/>
              <w:ind w:firstLine="480" w:firstLineChars="200"/>
              <w:rPr>
                <w:b w:val="0"/>
                <w:sz w:val="24"/>
              </w:rPr>
            </w:pPr>
            <w:r>
              <w:rPr>
                <w:b w:val="0"/>
                <w:sz w:val="24"/>
              </w:rPr>
              <w:t>（3）机械排放废气和运输车辆尾气</w:t>
            </w:r>
          </w:p>
          <w:p>
            <w:pPr>
              <w:pStyle w:val="23"/>
              <w:ind w:firstLine="480" w:firstLineChars="200"/>
              <w:rPr>
                <w:b w:val="0"/>
                <w:sz w:val="24"/>
              </w:rPr>
            </w:pPr>
            <w:r>
              <w:rPr>
                <w:b w:val="0"/>
                <w:sz w:val="24"/>
              </w:rPr>
              <w:t>本工程施工过程中主要为燃油机械燃料燃烧废气和运输车辆尾气，各类机械设备均使用符合国家标准的燃料，同时项目区内道路铺垫简易砂石路面，合理规划、选择最短的工区道路运输路线，减少车辆尾气的排放。施工期短暂、地域空旷，大气扩散条件良好，加上施工期废气排放时段较为集中，属于阶段性排放源，随着施工的结束而停止排放，各类机械及车辆均采用合格油品，燃油机械排放废气和运输车辆尾气对周围大气环境影响不大。</w:t>
            </w:r>
          </w:p>
          <w:p>
            <w:pPr>
              <w:ind w:firstLine="480"/>
            </w:pPr>
            <w:r>
              <w:t>（4）伴生气燃烧废气</w:t>
            </w:r>
          </w:p>
          <w:p>
            <w:pPr>
              <w:ind w:firstLine="480"/>
            </w:pPr>
            <w:r>
              <w:t>试油过程中可能会出现油层伴生气排出地面的情况。由于试油过程具有很大的不确定性，如试油过程中伴生气气量较小，不具备回收利用的条件时，根据《大气污染物综合排放标准》（GB16297-1996）要求，应通过放散管充分燃烧放空，伴生气主要成分为甲烷，通过放散管燃烧放空产生的废气主要有NOx、SO</w:t>
            </w:r>
            <w:r>
              <w:rPr>
                <w:vertAlign w:val="subscript"/>
              </w:rPr>
              <w:t>2</w:t>
            </w:r>
            <w:r>
              <w:t>及烟尘，根据本区块试油情况，评价区内未检测到H</w:t>
            </w:r>
            <w:r>
              <w:rPr>
                <w:vertAlign w:val="subscript"/>
              </w:rPr>
              <w:t>2</w:t>
            </w:r>
            <w:r>
              <w:t>S等有害气体。通过放散管放空产生的污染物较少，随试油期结束而终止。</w:t>
            </w:r>
          </w:p>
          <w:p>
            <w:pPr>
              <w:ind w:firstLine="480"/>
            </w:pPr>
            <w:r>
              <w:t>（5）临时储罐和采出液装载过程无组织排放废气</w:t>
            </w:r>
          </w:p>
          <w:p>
            <w:pPr>
              <w:ind w:firstLine="480"/>
            </w:pPr>
            <w:r>
              <w:t>本项目试油期采出液暂存于井场1个60m</w:t>
            </w:r>
            <w:r>
              <w:rPr>
                <w:vertAlign w:val="superscript"/>
              </w:rPr>
              <w:t>3</w:t>
            </w:r>
            <w:r>
              <w:t>采出液临时储罐中，由罐车定期拉运至</w:t>
            </w:r>
            <w:r>
              <w:rPr>
                <w:rFonts w:hint="eastAsia"/>
              </w:rPr>
              <w:t>乌尔禾稀油</w:t>
            </w:r>
            <w:r>
              <w:t>处理站处理，采出液装车过程中会产生VOCs，根据《石化行业VOC</w:t>
            </w:r>
            <w:r>
              <w:rPr>
                <w:vertAlign w:val="subscript"/>
              </w:rPr>
              <w:t>S</w:t>
            </w:r>
            <w:r>
              <w:t>污染源排查工作指南》，装载过程VOCs排放量与物料年周转量、装载温度、装载物料的真实蒸气压等因素有关。由于试油过程具有很大的不确定性，无法确定试油阶段的产能情况，因此本评价仅对装载过程产生的VOCs进行定性分析，不进行定量计算。本环评要求建设单位在试油阶段采出液装载应符合《陆上石油天然气开采工业大气污染物排放标准》（GB39728-2020）要求，采用底部装载或顶部浸没式装载方式，采用顶部浸没式装载的，出口管口距离罐底部高度应小于200mm。采出液装载仅在试油期进行，随试油期结束而终止。</w:t>
            </w:r>
          </w:p>
          <w:p>
            <w:pPr>
              <w:pStyle w:val="19"/>
              <w:rPr>
                <w:sz w:val="28"/>
              </w:rPr>
            </w:pPr>
            <w:bookmarkStart w:id="34" w:name="_Toc4747"/>
            <w:bookmarkStart w:id="35" w:name="_Hlk27231092"/>
            <w:r>
              <w:rPr>
                <w:sz w:val="28"/>
              </w:rPr>
              <w:t>2</w:t>
            </w:r>
            <w:r>
              <w:rPr>
                <w:rFonts w:hint="eastAsia"/>
                <w:sz w:val="28"/>
              </w:rPr>
              <w:t xml:space="preserve"> </w:t>
            </w:r>
            <w:r>
              <w:rPr>
                <w:sz w:val="28"/>
              </w:rPr>
              <w:t>施工期废水影响分析</w:t>
            </w:r>
            <w:bookmarkEnd w:id="34"/>
          </w:p>
          <w:p>
            <w:pPr>
              <w:pStyle w:val="5"/>
              <w:ind w:firstLine="0" w:firstLineChars="0"/>
            </w:pPr>
            <w:r>
              <w:t>2.1</w:t>
            </w:r>
            <w:r>
              <w:rPr>
                <w:rFonts w:hint="eastAsia"/>
              </w:rPr>
              <w:t xml:space="preserve"> </w:t>
            </w:r>
            <w:r>
              <w:t>正常</w:t>
            </w:r>
            <w:r>
              <w:rPr>
                <w:rFonts w:hint="eastAsia"/>
              </w:rPr>
              <w:t>施工过程中</w:t>
            </w:r>
            <w:r>
              <w:t>水环境影响分析</w:t>
            </w:r>
          </w:p>
          <w:p>
            <w:pPr>
              <w:ind w:firstLine="480"/>
            </w:pPr>
            <w:r>
              <w:rPr>
                <w:szCs w:val="22"/>
                <w:lang w:bidi="ar"/>
              </w:rPr>
              <w:t>本项目在钻井施工过程中采用“钻井泥浆不落地技术”，分离出的液相循环使用，</w:t>
            </w:r>
            <w:r>
              <w:rPr>
                <w:rFonts w:hint="eastAsia"/>
                <w:szCs w:val="22"/>
                <w:lang w:bidi="ar"/>
              </w:rPr>
              <w:t>完井后剩余泥浆由钻井队找专业公司回收利用，</w:t>
            </w:r>
            <w:r>
              <w:rPr>
                <w:szCs w:val="22"/>
                <w:lang w:bidi="ar"/>
              </w:rPr>
              <w:t>无钻井废水产生。</w:t>
            </w:r>
            <w:r>
              <w:t>本项目施工期</w:t>
            </w:r>
            <w:r>
              <w:rPr>
                <w:rFonts w:hint="eastAsia"/>
              </w:rPr>
              <w:t>废水</w:t>
            </w:r>
            <w:r>
              <w:t>主要来源于</w:t>
            </w:r>
            <w:r>
              <w:rPr>
                <w:rFonts w:hint="eastAsia"/>
              </w:rPr>
              <w:t>钻井期施工人员的生活污水和试油期的洗井废水</w:t>
            </w:r>
            <w:r>
              <w:t>。</w:t>
            </w:r>
          </w:p>
          <w:p>
            <w:pPr>
              <w:pStyle w:val="21"/>
              <w:rPr>
                <w:rFonts w:ascii="Times New Roman" w:hAnsi="Times New Roman"/>
              </w:rPr>
            </w:pPr>
            <w:r>
              <w:rPr>
                <w:rFonts w:ascii="Times New Roman" w:hAnsi="Times New Roman"/>
              </w:rPr>
              <w:t>（1）生活污水</w:t>
            </w:r>
          </w:p>
          <w:p>
            <w:pPr>
              <w:pStyle w:val="21"/>
              <w:adjustRightInd/>
              <w:snapToGrid/>
              <w:rPr>
                <w:rFonts w:ascii="Times New Roman" w:hAnsi="Times New Roman"/>
              </w:rPr>
            </w:pPr>
            <w:r>
              <w:rPr>
                <w:rFonts w:ascii="Times New Roman" w:hAnsi="Times New Roman"/>
              </w:rPr>
              <w:t>本项目施工人员3</w:t>
            </w:r>
            <w:r>
              <w:rPr>
                <w:rFonts w:hint="eastAsia" w:ascii="Times New Roman" w:hAnsi="Times New Roman"/>
              </w:rPr>
              <w:t>5</w:t>
            </w:r>
            <w:r>
              <w:rPr>
                <w:rFonts w:ascii="Times New Roman" w:hAnsi="Times New Roman"/>
              </w:rPr>
              <w:t>人，按每人每天用水80L计算，钻井期</w:t>
            </w:r>
            <w:r>
              <w:rPr>
                <w:rFonts w:hint="eastAsia" w:ascii="Times New Roman" w:hAnsi="Times New Roman"/>
              </w:rPr>
              <w:t>90</w:t>
            </w:r>
            <w:r>
              <w:rPr>
                <w:rFonts w:ascii="Times New Roman" w:hAnsi="Times New Roman"/>
              </w:rPr>
              <w:t>天，生活用水</w:t>
            </w:r>
            <w:r>
              <w:rPr>
                <w:rFonts w:hint="eastAsia" w:ascii="Times New Roman" w:hAnsi="Times New Roman"/>
              </w:rPr>
              <w:t>252</w:t>
            </w:r>
            <w:r>
              <w:rPr>
                <w:rFonts w:ascii="Times New Roman" w:hAnsi="Times New Roman"/>
              </w:rPr>
              <w:t>m</w:t>
            </w:r>
            <w:r>
              <w:rPr>
                <w:rFonts w:ascii="Times New Roman" w:hAnsi="Times New Roman"/>
                <w:vertAlign w:val="superscript"/>
              </w:rPr>
              <w:t>3</w:t>
            </w:r>
            <w:r>
              <w:rPr>
                <w:rFonts w:ascii="Times New Roman" w:hAnsi="Times New Roman"/>
              </w:rPr>
              <w:t>。试油期设2人值班，</w:t>
            </w:r>
            <w:r>
              <w:rPr>
                <w:rFonts w:hint="eastAsia"/>
              </w:rPr>
              <w:t>不在井区食宿</w:t>
            </w:r>
            <w:r>
              <w:rPr>
                <w:rFonts w:ascii="Times New Roman" w:hAnsi="Times New Roman"/>
              </w:rPr>
              <w:t>。生活污水产生量为用水量的80%，预计生活污水产生量为</w:t>
            </w:r>
            <w:r>
              <w:rPr>
                <w:rFonts w:hint="eastAsia" w:ascii="Times New Roman" w:hAnsi="Times New Roman"/>
              </w:rPr>
              <w:t>201.6</w:t>
            </w:r>
            <w:r>
              <w:rPr>
                <w:rFonts w:ascii="Times New Roman" w:hAnsi="Times New Roman"/>
                <w:kern w:val="0"/>
                <w:szCs w:val="20"/>
              </w:rPr>
              <w:t>m</w:t>
            </w:r>
            <w:r>
              <w:rPr>
                <w:rFonts w:ascii="Times New Roman" w:hAnsi="Times New Roman"/>
                <w:kern w:val="0"/>
                <w:szCs w:val="20"/>
                <w:vertAlign w:val="superscript"/>
              </w:rPr>
              <w:t>3</w:t>
            </w:r>
            <w:r>
              <w:rPr>
                <w:rFonts w:ascii="Times New Roman" w:hAnsi="Times New Roman"/>
                <w:kern w:val="0"/>
                <w:szCs w:val="20"/>
              </w:rPr>
              <w:t>。</w:t>
            </w:r>
          </w:p>
          <w:p>
            <w:pPr>
              <w:pStyle w:val="21"/>
              <w:rPr>
                <w:rFonts w:ascii="Times New Roman" w:hAnsi="Times New Roman"/>
              </w:rPr>
            </w:pPr>
            <w:r>
              <w:rPr>
                <w:rFonts w:ascii="Times New Roman" w:hAnsi="Times New Roman"/>
              </w:rPr>
              <w:t>钻井生活污水水质与居民生活污水相近似，其中COD产生浓度350mg/L，产生量0.</w:t>
            </w:r>
            <w:r>
              <w:rPr>
                <w:rFonts w:hint="eastAsia" w:ascii="Times New Roman" w:hAnsi="Times New Roman"/>
              </w:rPr>
              <w:t>07</w:t>
            </w:r>
            <w:r>
              <w:rPr>
                <w:rFonts w:ascii="Times New Roman" w:hAnsi="Times New Roman"/>
              </w:rPr>
              <w:t>t</w:t>
            </w:r>
            <w:r>
              <w:rPr>
                <w:rFonts w:hint="eastAsia" w:ascii="Times New Roman" w:hAnsi="Times New Roman"/>
              </w:rPr>
              <w:t>；</w:t>
            </w:r>
            <w:r>
              <w:rPr>
                <w:rFonts w:ascii="Times New Roman" w:hAnsi="Times New Roman"/>
              </w:rPr>
              <w:t>BOD</w:t>
            </w:r>
            <w:r>
              <w:rPr>
                <w:rFonts w:ascii="Times New Roman" w:hAnsi="Times New Roman"/>
                <w:vertAlign w:val="subscript"/>
              </w:rPr>
              <w:t>5</w:t>
            </w:r>
            <w:r>
              <w:rPr>
                <w:rFonts w:ascii="Times New Roman" w:hAnsi="Times New Roman"/>
              </w:rPr>
              <w:t>产生浓度300mg/L，产生量</w:t>
            </w:r>
            <w:r>
              <w:rPr>
                <w:rFonts w:hint="eastAsia" w:ascii="Times New Roman" w:hAnsi="Times New Roman"/>
              </w:rPr>
              <w:t>0.06</w:t>
            </w:r>
            <w:r>
              <w:rPr>
                <w:rFonts w:ascii="Times New Roman" w:hAnsi="Times New Roman"/>
              </w:rPr>
              <w:t>t</w:t>
            </w:r>
            <w:r>
              <w:rPr>
                <w:rFonts w:hint="eastAsia" w:ascii="Times New Roman" w:hAnsi="Times New Roman"/>
              </w:rPr>
              <w:t>；</w:t>
            </w:r>
            <w:r>
              <w:rPr>
                <w:rFonts w:ascii="Times New Roman" w:hAnsi="Times New Roman"/>
              </w:rPr>
              <w:t>SS产生浓度200mg/L，产生量0.</w:t>
            </w:r>
            <w:r>
              <w:rPr>
                <w:rFonts w:hint="eastAsia" w:ascii="Times New Roman" w:hAnsi="Times New Roman"/>
              </w:rPr>
              <w:t>04</w:t>
            </w:r>
            <w:r>
              <w:rPr>
                <w:rFonts w:ascii="Times New Roman" w:hAnsi="Times New Roman"/>
              </w:rPr>
              <w:t>t</w:t>
            </w:r>
            <w:r>
              <w:rPr>
                <w:rFonts w:hint="eastAsia" w:ascii="Times New Roman" w:hAnsi="Times New Roman"/>
              </w:rPr>
              <w:t>；</w:t>
            </w:r>
            <w:r>
              <w:rPr>
                <w:rFonts w:ascii="Times New Roman" w:hAnsi="Times New Roman"/>
              </w:rPr>
              <w:t>NH</w:t>
            </w:r>
            <w:r>
              <w:rPr>
                <w:rFonts w:ascii="Times New Roman" w:hAnsi="Times New Roman"/>
                <w:vertAlign w:val="subscript"/>
              </w:rPr>
              <w:t>3</w:t>
            </w:r>
            <w:r>
              <w:rPr>
                <w:rFonts w:ascii="Times New Roman" w:hAnsi="Times New Roman"/>
              </w:rPr>
              <w:t>-N产生浓度30mg/L，产生量0.</w:t>
            </w:r>
            <w:r>
              <w:rPr>
                <w:rFonts w:hint="eastAsia" w:ascii="Times New Roman" w:hAnsi="Times New Roman"/>
              </w:rPr>
              <w:t>006</w:t>
            </w:r>
            <w:r>
              <w:rPr>
                <w:rFonts w:ascii="Times New Roman" w:hAnsi="Times New Roman"/>
              </w:rPr>
              <w:t>t。生活污水排入井场防渗收集池，</w:t>
            </w:r>
            <w:r>
              <w:rPr>
                <w:rFonts w:hint="eastAsia" w:ascii="Times New Roman" w:hAnsi="Times New Roman"/>
              </w:rPr>
              <w:t>定期由吸污车拉运至乌尔禾污水厂处理</w:t>
            </w:r>
            <w:r>
              <w:rPr>
                <w:rFonts w:ascii="Times New Roman" w:hAnsi="Times New Roman"/>
                <w:kern w:val="0"/>
              </w:rPr>
              <w:t>。</w:t>
            </w:r>
          </w:p>
          <w:p>
            <w:pPr>
              <w:ind w:firstLine="480"/>
            </w:pPr>
            <w:r>
              <w:rPr>
                <w:rFonts w:hint="eastAsia"/>
              </w:rPr>
              <w:t>（2）</w:t>
            </w:r>
            <w:r>
              <w:t>洗井废水</w:t>
            </w:r>
          </w:p>
          <w:p>
            <w:pPr>
              <w:pStyle w:val="21"/>
              <w:rPr>
                <w:rFonts w:ascii="Times New Roman" w:hAnsi="Times New Roman"/>
              </w:rPr>
            </w:pPr>
            <w:r>
              <w:rPr>
                <w:rFonts w:hint="eastAsia" w:ascii="Times New Roman" w:hAnsi="Times New Roman"/>
              </w:rPr>
              <w:t>与建设单位核实，本项目均属于低渗透油井，</w:t>
            </w:r>
            <w:r>
              <w:rPr>
                <w:rFonts w:ascii="Times New Roman" w:hAnsi="Times New Roman"/>
              </w:rPr>
              <w:t>参照《排放源统计调查产排污核算方法和系数手册》（公告2021年第24号）中与石油和天然气开采有关的服务活动产排污系数计算洗井废水的产生量，见表4-4。</w:t>
            </w:r>
            <w:bookmarkStart w:id="36" w:name="_Hlk5211222"/>
          </w:p>
          <w:bookmarkEnd w:id="36"/>
          <w:p>
            <w:pPr>
              <w:pStyle w:val="2"/>
              <w:spacing w:line="360" w:lineRule="auto"/>
            </w:pPr>
            <w:r>
              <w:t>表4-4  与石油和天然气开采有关的服务活动产排污系数一览表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891"/>
              <w:gridCol w:w="1294"/>
              <w:gridCol w:w="752"/>
              <w:gridCol w:w="860"/>
              <w:gridCol w:w="872"/>
              <w:gridCol w:w="899"/>
              <w:gridCol w:w="1186"/>
              <w:gridCol w:w="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1" w:type="dxa"/>
                  <w:vAlign w:val="center"/>
                </w:tcPr>
                <w:p>
                  <w:pPr>
                    <w:pStyle w:val="20"/>
                    <w:rPr>
                      <w:b/>
                      <w:bCs/>
                    </w:rPr>
                  </w:pPr>
                  <w:r>
                    <w:rPr>
                      <w:b/>
                      <w:bCs/>
                    </w:rPr>
                    <w:t>产品</w:t>
                  </w:r>
                </w:p>
                <w:p>
                  <w:pPr>
                    <w:pStyle w:val="20"/>
                    <w:rPr>
                      <w:b/>
                      <w:bCs/>
                    </w:rPr>
                  </w:pPr>
                  <w:r>
                    <w:rPr>
                      <w:b/>
                      <w:bCs/>
                    </w:rPr>
                    <w:t>名称</w:t>
                  </w:r>
                </w:p>
              </w:tc>
              <w:tc>
                <w:tcPr>
                  <w:tcW w:w="891" w:type="dxa"/>
                  <w:vAlign w:val="center"/>
                </w:tcPr>
                <w:p>
                  <w:pPr>
                    <w:pStyle w:val="20"/>
                    <w:rPr>
                      <w:b/>
                      <w:bCs/>
                    </w:rPr>
                  </w:pPr>
                  <w:r>
                    <w:rPr>
                      <w:b/>
                      <w:bCs/>
                    </w:rPr>
                    <w:t>原料</w:t>
                  </w:r>
                </w:p>
                <w:p>
                  <w:pPr>
                    <w:pStyle w:val="20"/>
                    <w:rPr>
                      <w:b/>
                      <w:bCs/>
                    </w:rPr>
                  </w:pPr>
                  <w:r>
                    <w:rPr>
                      <w:b/>
                      <w:bCs/>
                    </w:rPr>
                    <w:t>名称</w:t>
                  </w:r>
                </w:p>
              </w:tc>
              <w:tc>
                <w:tcPr>
                  <w:tcW w:w="1294" w:type="dxa"/>
                  <w:vAlign w:val="center"/>
                </w:tcPr>
                <w:p>
                  <w:pPr>
                    <w:pStyle w:val="20"/>
                    <w:rPr>
                      <w:b/>
                      <w:bCs/>
                    </w:rPr>
                  </w:pPr>
                  <w:r>
                    <w:rPr>
                      <w:b/>
                      <w:bCs/>
                    </w:rPr>
                    <w:t>工艺名称</w:t>
                  </w:r>
                </w:p>
              </w:tc>
              <w:tc>
                <w:tcPr>
                  <w:tcW w:w="752" w:type="dxa"/>
                  <w:vAlign w:val="center"/>
                </w:tcPr>
                <w:p>
                  <w:pPr>
                    <w:pStyle w:val="20"/>
                    <w:rPr>
                      <w:b/>
                      <w:bCs/>
                    </w:rPr>
                  </w:pPr>
                  <w:r>
                    <w:rPr>
                      <w:b/>
                      <w:bCs/>
                    </w:rPr>
                    <w:t>规模等级</w:t>
                  </w:r>
                </w:p>
              </w:tc>
              <w:tc>
                <w:tcPr>
                  <w:tcW w:w="860" w:type="dxa"/>
                  <w:vAlign w:val="center"/>
                </w:tcPr>
                <w:p>
                  <w:pPr>
                    <w:pStyle w:val="20"/>
                    <w:rPr>
                      <w:b/>
                      <w:bCs/>
                    </w:rPr>
                  </w:pPr>
                  <w:r>
                    <w:rPr>
                      <w:b/>
                      <w:bCs/>
                    </w:rPr>
                    <w:t>污染物指标</w:t>
                  </w:r>
                </w:p>
              </w:tc>
              <w:tc>
                <w:tcPr>
                  <w:tcW w:w="872" w:type="dxa"/>
                  <w:vAlign w:val="center"/>
                </w:tcPr>
                <w:p>
                  <w:pPr>
                    <w:pStyle w:val="20"/>
                    <w:rPr>
                      <w:b/>
                      <w:bCs/>
                    </w:rPr>
                  </w:pPr>
                  <w:r>
                    <w:rPr>
                      <w:b/>
                      <w:bCs/>
                    </w:rPr>
                    <w:t>单位</w:t>
                  </w:r>
                </w:p>
              </w:tc>
              <w:tc>
                <w:tcPr>
                  <w:tcW w:w="899" w:type="dxa"/>
                  <w:vAlign w:val="center"/>
                </w:tcPr>
                <w:p>
                  <w:pPr>
                    <w:pStyle w:val="20"/>
                    <w:rPr>
                      <w:b/>
                      <w:bCs/>
                    </w:rPr>
                  </w:pPr>
                  <w:r>
                    <w:rPr>
                      <w:b/>
                      <w:bCs/>
                    </w:rPr>
                    <w:t>产污</w:t>
                  </w:r>
                </w:p>
                <w:p>
                  <w:pPr>
                    <w:pStyle w:val="20"/>
                    <w:rPr>
                      <w:b/>
                      <w:bCs/>
                    </w:rPr>
                  </w:pPr>
                  <w:r>
                    <w:rPr>
                      <w:b/>
                      <w:bCs/>
                    </w:rPr>
                    <w:t>系数</w:t>
                  </w:r>
                </w:p>
              </w:tc>
              <w:tc>
                <w:tcPr>
                  <w:tcW w:w="1186" w:type="dxa"/>
                  <w:vAlign w:val="center"/>
                </w:tcPr>
                <w:p>
                  <w:pPr>
                    <w:pStyle w:val="20"/>
                    <w:rPr>
                      <w:b/>
                      <w:bCs/>
                    </w:rPr>
                  </w:pPr>
                  <w:r>
                    <w:rPr>
                      <w:b/>
                      <w:bCs/>
                    </w:rPr>
                    <w:t>末端治理技术名称</w:t>
                  </w:r>
                </w:p>
              </w:tc>
              <w:tc>
                <w:tcPr>
                  <w:tcW w:w="752" w:type="dxa"/>
                  <w:vAlign w:val="center"/>
                </w:tcPr>
                <w:p>
                  <w:pPr>
                    <w:pStyle w:val="20"/>
                    <w:rPr>
                      <w:b/>
                      <w:bCs/>
                    </w:rPr>
                  </w:pPr>
                  <w:r>
                    <w:rPr>
                      <w:b/>
                      <w:bCs/>
                    </w:rPr>
                    <w:t>排污系数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1" w:type="dxa"/>
                  <w:vMerge w:val="restart"/>
                  <w:vAlign w:val="center"/>
                </w:tcPr>
                <w:p>
                  <w:pPr>
                    <w:pStyle w:val="20"/>
                  </w:pPr>
                  <w:r>
                    <w:t>井下作业</w:t>
                  </w:r>
                </w:p>
              </w:tc>
              <w:tc>
                <w:tcPr>
                  <w:tcW w:w="891" w:type="dxa"/>
                  <w:vMerge w:val="restart"/>
                  <w:vAlign w:val="center"/>
                </w:tcPr>
                <w:p>
                  <w:pPr>
                    <w:pStyle w:val="20"/>
                  </w:pPr>
                  <w:r>
                    <w:t>洗井液(水)</w:t>
                  </w:r>
                </w:p>
              </w:tc>
              <w:tc>
                <w:tcPr>
                  <w:tcW w:w="1294" w:type="dxa"/>
                  <w:vMerge w:val="restart"/>
                  <w:vAlign w:val="center"/>
                </w:tcPr>
                <w:p>
                  <w:pPr>
                    <w:pStyle w:val="20"/>
                  </w:pPr>
                  <w:r>
                    <w:t>低渗透油井洗井作业</w:t>
                  </w:r>
                </w:p>
              </w:tc>
              <w:tc>
                <w:tcPr>
                  <w:tcW w:w="752" w:type="dxa"/>
                  <w:vMerge w:val="restart"/>
                  <w:vAlign w:val="center"/>
                </w:tcPr>
                <w:p>
                  <w:pPr>
                    <w:pStyle w:val="20"/>
                  </w:pPr>
                  <w:r>
                    <w:t>所有规模</w:t>
                  </w:r>
                </w:p>
              </w:tc>
              <w:tc>
                <w:tcPr>
                  <w:tcW w:w="860" w:type="dxa"/>
                  <w:vAlign w:val="center"/>
                </w:tcPr>
                <w:p>
                  <w:pPr>
                    <w:pStyle w:val="20"/>
                  </w:pPr>
                  <w:r>
                    <w:t>工业废水量</w:t>
                  </w:r>
                </w:p>
              </w:tc>
              <w:tc>
                <w:tcPr>
                  <w:tcW w:w="872" w:type="dxa"/>
                  <w:vAlign w:val="center"/>
                </w:tcPr>
                <w:p>
                  <w:pPr>
                    <w:pStyle w:val="20"/>
                  </w:pPr>
                  <w:r>
                    <w:t>t/井次-产品</w:t>
                  </w:r>
                </w:p>
              </w:tc>
              <w:tc>
                <w:tcPr>
                  <w:tcW w:w="899" w:type="dxa"/>
                  <w:vAlign w:val="center"/>
                </w:tcPr>
                <w:p>
                  <w:pPr>
                    <w:pStyle w:val="20"/>
                  </w:pPr>
                  <w:r>
                    <w:t>27.13</w:t>
                  </w:r>
                </w:p>
              </w:tc>
              <w:tc>
                <w:tcPr>
                  <w:tcW w:w="1186" w:type="dxa"/>
                  <w:vAlign w:val="center"/>
                </w:tcPr>
                <w:p>
                  <w:pPr>
                    <w:pStyle w:val="20"/>
                  </w:pPr>
                  <w:r>
                    <w:t>回收回注</w:t>
                  </w:r>
                </w:p>
              </w:tc>
              <w:tc>
                <w:tcPr>
                  <w:tcW w:w="752" w:type="dxa"/>
                  <w:vAlign w:val="center"/>
                </w:tcPr>
                <w:p>
                  <w:pPr>
                    <w:pStyle w:val="20"/>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1" w:type="dxa"/>
                  <w:vMerge w:val="continue"/>
                  <w:vAlign w:val="center"/>
                </w:tcPr>
                <w:p>
                  <w:pPr>
                    <w:pStyle w:val="20"/>
                  </w:pPr>
                </w:p>
              </w:tc>
              <w:tc>
                <w:tcPr>
                  <w:tcW w:w="891" w:type="dxa"/>
                  <w:vMerge w:val="continue"/>
                  <w:vAlign w:val="center"/>
                </w:tcPr>
                <w:p>
                  <w:pPr>
                    <w:pStyle w:val="20"/>
                  </w:pPr>
                </w:p>
              </w:tc>
              <w:tc>
                <w:tcPr>
                  <w:tcW w:w="1294" w:type="dxa"/>
                  <w:vMerge w:val="continue"/>
                  <w:vAlign w:val="center"/>
                </w:tcPr>
                <w:p>
                  <w:pPr>
                    <w:pStyle w:val="20"/>
                  </w:pPr>
                </w:p>
              </w:tc>
              <w:tc>
                <w:tcPr>
                  <w:tcW w:w="752" w:type="dxa"/>
                  <w:vMerge w:val="continue"/>
                  <w:vAlign w:val="center"/>
                </w:tcPr>
                <w:p>
                  <w:pPr>
                    <w:pStyle w:val="20"/>
                  </w:pPr>
                </w:p>
              </w:tc>
              <w:tc>
                <w:tcPr>
                  <w:tcW w:w="860" w:type="dxa"/>
                  <w:vAlign w:val="center"/>
                </w:tcPr>
                <w:p>
                  <w:pPr>
                    <w:pStyle w:val="20"/>
                  </w:pPr>
                  <w:r>
                    <w:t>化学需氧量</w:t>
                  </w:r>
                </w:p>
              </w:tc>
              <w:tc>
                <w:tcPr>
                  <w:tcW w:w="872" w:type="dxa"/>
                  <w:vAlign w:val="center"/>
                </w:tcPr>
                <w:p>
                  <w:pPr>
                    <w:pStyle w:val="20"/>
                  </w:pPr>
                  <w:r>
                    <w:t>g/井次-产品</w:t>
                  </w:r>
                </w:p>
              </w:tc>
              <w:tc>
                <w:tcPr>
                  <w:tcW w:w="899" w:type="dxa"/>
                  <w:vAlign w:val="center"/>
                </w:tcPr>
                <w:p>
                  <w:pPr>
                    <w:pStyle w:val="20"/>
                  </w:pPr>
                  <w:r>
                    <w:t>34679</w:t>
                  </w:r>
                </w:p>
              </w:tc>
              <w:tc>
                <w:tcPr>
                  <w:tcW w:w="1186" w:type="dxa"/>
                  <w:vAlign w:val="center"/>
                </w:tcPr>
                <w:p>
                  <w:pPr>
                    <w:pStyle w:val="20"/>
                  </w:pPr>
                  <w:r>
                    <w:t>回收回注</w:t>
                  </w:r>
                </w:p>
              </w:tc>
              <w:tc>
                <w:tcPr>
                  <w:tcW w:w="752" w:type="dxa"/>
                  <w:vAlign w:val="center"/>
                </w:tcPr>
                <w:p>
                  <w:pPr>
                    <w:pStyle w:val="20"/>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1" w:type="dxa"/>
                  <w:vMerge w:val="continue"/>
                  <w:vAlign w:val="center"/>
                </w:tcPr>
                <w:p>
                  <w:pPr>
                    <w:pStyle w:val="20"/>
                  </w:pPr>
                </w:p>
              </w:tc>
              <w:tc>
                <w:tcPr>
                  <w:tcW w:w="891" w:type="dxa"/>
                  <w:vMerge w:val="continue"/>
                  <w:vAlign w:val="center"/>
                </w:tcPr>
                <w:p>
                  <w:pPr>
                    <w:pStyle w:val="20"/>
                  </w:pPr>
                </w:p>
              </w:tc>
              <w:tc>
                <w:tcPr>
                  <w:tcW w:w="1294" w:type="dxa"/>
                  <w:vMerge w:val="continue"/>
                  <w:vAlign w:val="center"/>
                </w:tcPr>
                <w:p>
                  <w:pPr>
                    <w:pStyle w:val="20"/>
                  </w:pPr>
                </w:p>
              </w:tc>
              <w:tc>
                <w:tcPr>
                  <w:tcW w:w="752" w:type="dxa"/>
                  <w:vMerge w:val="continue"/>
                  <w:vAlign w:val="center"/>
                </w:tcPr>
                <w:p>
                  <w:pPr>
                    <w:pStyle w:val="20"/>
                  </w:pPr>
                </w:p>
              </w:tc>
              <w:tc>
                <w:tcPr>
                  <w:tcW w:w="860" w:type="dxa"/>
                  <w:vAlign w:val="center"/>
                </w:tcPr>
                <w:p>
                  <w:pPr>
                    <w:pStyle w:val="20"/>
                  </w:pPr>
                  <w:r>
                    <w:t>石油类</w:t>
                  </w:r>
                </w:p>
              </w:tc>
              <w:tc>
                <w:tcPr>
                  <w:tcW w:w="872" w:type="dxa"/>
                  <w:vAlign w:val="center"/>
                </w:tcPr>
                <w:p>
                  <w:pPr>
                    <w:pStyle w:val="20"/>
                  </w:pPr>
                  <w:r>
                    <w:t>g/井次-产品</w:t>
                  </w:r>
                </w:p>
              </w:tc>
              <w:tc>
                <w:tcPr>
                  <w:tcW w:w="899" w:type="dxa"/>
                  <w:vAlign w:val="center"/>
                </w:tcPr>
                <w:p>
                  <w:pPr>
                    <w:pStyle w:val="20"/>
                  </w:pPr>
                  <w:r>
                    <w:t>6122</w:t>
                  </w:r>
                </w:p>
              </w:tc>
              <w:tc>
                <w:tcPr>
                  <w:tcW w:w="1186" w:type="dxa"/>
                  <w:vAlign w:val="center"/>
                </w:tcPr>
                <w:p>
                  <w:pPr>
                    <w:pStyle w:val="20"/>
                  </w:pPr>
                  <w:r>
                    <w:t>回收回注</w:t>
                  </w:r>
                </w:p>
              </w:tc>
              <w:tc>
                <w:tcPr>
                  <w:tcW w:w="752" w:type="dxa"/>
                  <w:vAlign w:val="center"/>
                </w:tcPr>
                <w:p>
                  <w:pPr>
                    <w:pStyle w:val="20"/>
                  </w:pPr>
                  <w:r>
                    <w:t>0</w:t>
                  </w:r>
                </w:p>
              </w:tc>
            </w:tr>
          </w:tbl>
          <w:p>
            <w:pPr>
              <w:pStyle w:val="21"/>
              <w:adjustRightInd/>
              <w:snapToGrid/>
              <w:rPr>
                <w:rFonts w:ascii="Times New Roman" w:hAnsi="Times New Roman"/>
              </w:rPr>
            </w:pPr>
            <w:r>
              <w:rPr>
                <w:rFonts w:ascii="Times New Roman" w:hAnsi="Times New Roman"/>
              </w:rPr>
              <w:t>本项目洗井废水产生量为</w:t>
            </w:r>
            <w:r>
              <w:rPr>
                <w:rFonts w:hint="eastAsia" w:ascii="Times New Roman" w:hAnsi="Times New Roman"/>
              </w:rPr>
              <w:t>81.39</w:t>
            </w:r>
            <w:r>
              <w:rPr>
                <w:rFonts w:ascii="Times New Roman" w:hAnsi="Times New Roman"/>
              </w:rPr>
              <w:t>t</w:t>
            </w:r>
            <w:r>
              <w:rPr>
                <w:rFonts w:hint="eastAsia" w:ascii="Times New Roman" w:hAnsi="Times New Roman"/>
              </w:rPr>
              <w:t>（3口井）</w:t>
            </w:r>
            <w:r>
              <w:rPr>
                <w:rFonts w:ascii="Times New Roman" w:hAnsi="Times New Roman"/>
              </w:rPr>
              <w:t>。化学需氧量产生量为0.</w:t>
            </w:r>
            <w:r>
              <w:rPr>
                <w:rFonts w:hint="eastAsia" w:ascii="Times New Roman" w:hAnsi="Times New Roman"/>
              </w:rPr>
              <w:t>104</w:t>
            </w:r>
            <w:r>
              <w:rPr>
                <w:rFonts w:ascii="Times New Roman" w:hAnsi="Times New Roman"/>
              </w:rPr>
              <w:t>t/a，石油类产生量为0.01</w:t>
            </w:r>
            <w:r>
              <w:rPr>
                <w:rFonts w:hint="eastAsia" w:ascii="Times New Roman" w:hAnsi="Times New Roman"/>
              </w:rPr>
              <w:t>8</w:t>
            </w:r>
            <w:r>
              <w:rPr>
                <w:rFonts w:ascii="Times New Roman" w:hAnsi="Times New Roman"/>
              </w:rPr>
              <w:t>t/a。试油期洗井废水带罐作业拉运至</w:t>
            </w:r>
            <w:r>
              <w:rPr>
                <w:rFonts w:hint="eastAsia" w:ascii="Times New Roman" w:hAnsi="Times New Roman"/>
              </w:rPr>
              <w:t>乌尔禾稀油</w:t>
            </w:r>
            <w:r>
              <w:rPr>
                <w:rFonts w:ascii="Times New Roman" w:hAnsi="Times New Roman"/>
              </w:rPr>
              <w:t>处理站处理后回注油藏，对环境影响较小。</w:t>
            </w:r>
          </w:p>
          <w:p>
            <w:pPr>
              <w:ind w:firstLine="480"/>
            </w:pPr>
            <w:r>
              <w:t>本项目施工期各类废水污染物统计情况见表4-</w:t>
            </w:r>
            <w:r>
              <w:rPr>
                <w:rFonts w:hint="eastAsia"/>
              </w:rPr>
              <w:t>5</w:t>
            </w:r>
            <w:r>
              <w:t>。本项目废水合规处置，不会对区域水环境产生不利影响。</w:t>
            </w:r>
          </w:p>
          <w:p>
            <w:pPr>
              <w:pStyle w:val="2"/>
              <w:spacing w:line="360" w:lineRule="auto"/>
            </w:pPr>
            <w:bookmarkStart w:id="37" w:name="_Ref490401896"/>
            <w:r>
              <w:t>表</w:t>
            </w:r>
            <w:bookmarkEnd w:id="37"/>
            <w:r>
              <w:t>4-</w:t>
            </w:r>
            <w:r>
              <w:rPr>
                <w:rFonts w:hint="eastAsia"/>
              </w:rPr>
              <w:t>5</w:t>
            </w:r>
            <w:r>
              <w:t xml:space="preserve">  项目废水污染物产生量及去向</w:t>
            </w:r>
          </w:p>
          <w:tbl>
            <w:tblPr>
              <w:tblStyle w:val="14"/>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371"/>
              <w:gridCol w:w="1156"/>
              <w:gridCol w:w="5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blHeader/>
                <w:jc w:val="center"/>
              </w:trPr>
              <w:tc>
                <w:tcPr>
                  <w:tcW w:w="649" w:type="dxa"/>
                  <w:vAlign w:val="center"/>
                </w:tcPr>
                <w:p>
                  <w:pPr>
                    <w:pStyle w:val="20"/>
                    <w:rPr>
                      <w:b/>
                      <w:bCs/>
                    </w:rPr>
                  </w:pPr>
                  <w:r>
                    <w:rPr>
                      <w:b/>
                      <w:bCs/>
                    </w:rPr>
                    <w:t>序号</w:t>
                  </w:r>
                </w:p>
              </w:tc>
              <w:tc>
                <w:tcPr>
                  <w:tcW w:w="1371" w:type="dxa"/>
                  <w:vAlign w:val="center"/>
                </w:tcPr>
                <w:p>
                  <w:pPr>
                    <w:pStyle w:val="20"/>
                    <w:rPr>
                      <w:b/>
                      <w:bCs/>
                    </w:rPr>
                  </w:pPr>
                  <w:r>
                    <w:rPr>
                      <w:b/>
                      <w:bCs/>
                    </w:rPr>
                    <w:t>污染源</w:t>
                  </w:r>
                </w:p>
              </w:tc>
              <w:tc>
                <w:tcPr>
                  <w:tcW w:w="1156" w:type="dxa"/>
                  <w:vAlign w:val="center"/>
                </w:tcPr>
                <w:p>
                  <w:pPr>
                    <w:pStyle w:val="20"/>
                    <w:rPr>
                      <w:b/>
                      <w:bCs/>
                    </w:rPr>
                  </w:pPr>
                  <w:r>
                    <w:rPr>
                      <w:b/>
                      <w:bCs/>
                    </w:rPr>
                    <w:t>产生量</w:t>
                  </w:r>
                </w:p>
              </w:tc>
              <w:tc>
                <w:tcPr>
                  <w:tcW w:w="5081" w:type="dxa"/>
                  <w:vAlign w:val="center"/>
                </w:tcPr>
                <w:p>
                  <w:pPr>
                    <w:pStyle w:val="20"/>
                    <w:rPr>
                      <w:b/>
                      <w:bCs/>
                    </w:rPr>
                  </w:pPr>
                  <w:r>
                    <w:rPr>
                      <w:b/>
                      <w:bCs/>
                    </w:rPr>
                    <w:t>处置去向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649" w:type="dxa"/>
                  <w:vAlign w:val="center"/>
                </w:tcPr>
                <w:p>
                  <w:pPr>
                    <w:pStyle w:val="20"/>
                  </w:pPr>
                  <w:r>
                    <w:rPr>
                      <w:rFonts w:hint="eastAsia"/>
                    </w:rPr>
                    <w:t>1</w:t>
                  </w:r>
                </w:p>
              </w:tc>
              <w:tc>
                <w:tcPr>
                  <w:tcW w:w="1371" w:type="dxa"/>
                  <w:vAlign w:val="center"/>
                </w:tcPr>
                <w:p>
                  <w:pPr>
                    <w:pStyle w:val="20"/>
                  </w:pPr>
                  <w:r>
                    <w:t>生活污水</w:t>
                  </w:r>
                </w:p>
              </w:tc>
              <w:tc>
                <w:tcPr>
                  <w:tcW w:w="1156" w:type="dxa"/>
                  <w:vAlign w:val="center"/>
                </w:tcPr>
                <w:p>
                  <w:pPr>
                    <w:pStyle w:val="20"/>
                  </w:pPr>
                  <w:r>
                    <w:rPr>
                      <w:rFonts w:hint="eastAsia"/>
                    </w:rPr>
                    <w:t>201.6</w:t>
                  </w:r>
                  <w:r>
                    <w:t>m</w:t>
                  </w:r>
                  <w:r>
                    <w:rPr>
                      <w:vertAlign w:val="superscript"/>
                    </w:rPr>
                    <w:t>3</w:t>
                  </w:r>
                </w:p>
              </w:tc>
              <w:tc>
                <w:tcPr>
                  <w:tcW w:w="5081" w:type="dxa"/>
                  <w:vAlign w:val="center"/>
                </w:tcPr>
                <w:p>
                  <w:pPr>
                    <w:pStyle w:val="20"/>
                  </w:pPr>
                  <w:r>
                    <w:t>生活污水排入井场防渗收集池，定期由吸污车拉运乌尔禾区污水处理厂处理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649" w:type="dxa"/>
                  <w:vAlign w:val="center"/>
                </w:tcPr>
                <w:p>
                  <w:pPr>
                    <w:pStyle w:val="20"/>
                  </w:pPr>
                  <w:r>
                    <w:rPr>
                      <w:rFonts w:hint="eastAsia"/>
                    </w:rPr>
                    <w:t>2</w:t>
                  </w:r>
                </w:p>
              </w:tc>
              <w:tc>
                <w:tcPr>
                  <w:tcW w:w="1371" w:type="dxa"/>
                  <w:vAlign w:val="center"/>
                </w:tcPr>
                <w:p>
                  <w:pPr>
                    <w:pStyle w:val="20"/>
                  </w:pPr>
                  <w:r>
                    <w:t>洗井废水</w:t>
                  </w:r>
                </w:p>
              </w:tc>
              <w:tc>
                <w:tcPr>
                  <w:tcW w:w="1156" w:type="dxa"/>
                  <w:vAlign w:val="center"/>
                </w:tcPr>
                <w:p>
                  <w:pPr>
                    <w:pStyle w:val="20"/>
                  </w:pPr>
                  <w:r>
                    <w:rPr>
                      <w:rFonts w:hint="eastAsia"/>
                    </w:rPr>
                    <w:t>81.39</w:t>
                  </w:r>
                  <w:r>
                    <w:t>t</w:t>
                  </w:r>
                </w:p>
              </w:tc>
              <w:tc>
                <w:tcPr>
                  <w:tcW w:w="5081" w:type="dxa"/>
                  <w:vAlign w:val="center"/>
                </w:tcPr>
                <w:p>
                  <w:pPr>
                    <w:pStyle w:val="20"/>
                  </w:pPr>
                  <w:r>
                    <w:t>井下作业过程中，作业单位自带回收罐回收作业废水，拉运至</w:t>
                  </w:r>
                  <w:r>
                    <w:rPr>
                      <w:rFonts w:hint="eastAsia"/>
                    </w:rPr>
                    <w:t>乌尔禾稀油</w:t>
                  </w:r>
                  <w:r>
                    <w:t>处理站污水处理系统处理</w:t>
                  </w:r>
                </w:p>
              </w:tc>
            </w:tr>
          </w:tbl>
          <w:p>
            <w:pPr>
              <w:pStyle w:val="5"/>
              <w:ind w:firstLine="0" w:firstLineChars="0"/>
            </w:pPr>
            <w:r>
              <w:t>2.2</w:t>
            </w:r>
            <w:r>
              <w:rPr>
                <w:rFonts w:hint="eastAsia"/>
              </w:rPr>
              <w:t xml:space="preserve"> </w:t>
            </w:r>
            <w:r>
              <w:t>事故状态下水环境影响分析</w:t>
            </w:r>
          </w:p>
          <w:p>
            <w:pPr>
              <w:ind w:firstLine="480"/>
            </w:pPr>
            <w:r>
              <w:rPr>
                <w:rFonts w:hint="eastAsia"/>
              </w:rPr>
              <w:t>（1）</w:t>
            </w:r>
            <w:r>
              <w:t xml:space="preserve">井漏事故的泥浆对地下水的影响 </w:t>
            </w:r>
          </w:p>
          <w:p>
            <w:pPr>
              <w:ind w:firstLine="480"/>
            </w:pPr>
            <w:r>
              <w:t>井漏事故对地下水的污染是钻井泥浆漏失于地下水含水层中，由于其含Ca、Na等离子，且pH、盐分较多，易造成地下含水层水质污染。</w:t>
            </w:r>
          </w:p>
          <w:p>
            <w:pPr>
              <w:ind w:firstLine="480"/>
            </w:pPr>
            <w:r>
              <w:t>本项目采用下套管注水泥的方式进行固井，可对潜水和承压水所在的地层进行固封。在固井合格的前提下，可以有效隔离含水层与井内泥浆的交换，有效保护地下水层。</w:t>
            </w:r>
          </w:p>
          <w:p>
            <w:pPr>
              <w:ind w:firstLine="480"/>
            </w:pPr>
            <w:r>
              <w:t>因此，推广使用清洁无害的泥浆，严格要求套管下入深度，可以有效控制钻井液在含水层中的漏失，减轻对地下水环境的影响。</w:t>
            </w:r>
          </w:p>
          <w:p>
            <w:pPr>
              <w:ind w:firstLine="480"/>
            </w:pPr>
            <w:r>
              <w:rPr>
                <w:rFonts w:hint="eastAsia"/>
              </w:rPr>
              <w:t>（2）</w:t>
            </w:r>
            <w:r>
              <w:t>油水窜层对地下水的污染影响</w:t>
            </w:r>
          </w:p>
          <w:p>
            <w:pPr>
              <w:ind w:firstLine="480"/>
            </w:pPr>
            <w:r>
              <w:t>钻井完井后试油过程中原油窜层污染的主要原因是：①下入的表层套管未封住含水层；②固井质量差；③工艺措施不合理或未实施。因此，为预防污染的发生和污染源的形成，表层套管必须严格封闭含水层，固井质量应符合环保要求。</w:t>
            </w:r>
          </w:p>
          <w:p>
            <w:pPr>
              <w:ind w:firstLine="480"/>
            </w:pPr>
            <w:r>
              <w:rPr>
                <w:rFonts w:hint="eastAsia"/>
              </w:rPr>
              <w:t>（3）</w:t>
            </w:r>
            <w:r>
              <w:t>井喷事故对地下水的污染影响</w:t>
            </w:r>
          </w:p>
          <w:p>
            <w:pPr>
              <w:ind w:firstLine="480"/>
            </w:pPr>
            <w:r>
              <w:t>井喷事故一旦发生，大量的油气喷出井口，散落于井场周围，除造成重大经济损失外，还会造成严重的环境污染。根据测算，井喷发生后，一般需要1-2d才能得以控制。据类比资料显示，井喷污染范围在半径300m左右时，井喷持续时间2d，井喷范围内土壤表层可见有蜡状的原油喷散物，井喷的影响范围及影响程度较大。但从事故井区土壤剖面分析，井喷事故后石油类污染物主要聚集在土壤剖面1m以内，石油类污染物很难下渗到2m以下，井喷事故对水环境的影响主要表现为对其周围土壤的影响，对地下水体有一定的影响，若及时采取有效措施治理污染，井喷对地下水的影响极小。</w:t>
            </w:r>
          </w:p>
          <w:bookmarkEnd w:id="35"/>
          <w:p>
            <w:pPr>
              <w:pStyle w:val="19"/>
              <w:rPr>
                <w:sz w:val="28"/>
                <w:szCs w:val="28"/>
              </w:rPr>
            </w:pPr>
            <w:bookmarkStart w:id="38" w:name="_Toc28646"/>
            <w:r>
              <w:rPr>
                <w:sz w:val="28"/>
                <w:szCs w:val="28"/>
              </w:rPr>
              <w:t>3 施工期噪声影响分析</w:t>
            </w:r>
            <w:bookmarkEnd w:id="38"/>
          </w:p>
          <w:p>
            <w:pPr>
              <w:ind w:firstLine="480"/>
            </w:pPr>
            <w:r>
              <w:t>钻井噪声主要来源于钻井设备、泥浆泵、振动筛等连续性噪声，噪声源强在</w:t>
            </w:r>
            <w:r>
              <w:rPr>
                <w:rFonts w:hint="eastAsia"/>
              </w:rPr>
              <w:t>85</w:t>
            </w:r>
            <w:r>
              <w:t>~1</w:t>
            </w:r>
            <w:r>
              <w:rPr>
                <w:rFonts w:hint="eastAsia"/>
              </w:rPr>
              <w:t>0</w:t>
            </w:r>
            <w:r>
              <w:t>0dB(A)。试油期的噪声主要来源于发电房。主要噪声源强及特性见表4-</w:t>
            </w:r>
            <w:r>
              <w:rPr>
                <w:rFonts w:hint="eastAsia"/>
              </w:rPr>
              <w:t>6</w:t>
            </w:r>
            <w:r>
              <w:t>。</w:t>
            </w:r>
          </w:p>
          <w:p>
            <w:pPr>
              <w:pStyle w:val="2"/>
              <w:spacing w:line="360" w:lineRule="auto"/>
            </w:pPr>
            <w:r>
              <w:t>表4-</w:t>
            </w:r>
            <w:r>
              <w:rPr>
                <w:rFonts w:hint="eastAsia"/>
              </w:rPr>
              <w:t>6</w:t>
            </w:r>
            <w:r>
              <w:t xml:space="preserve">  钻井期和试油期主要噪声源强特性单位：dB(A)</w:t>
            </w:r>
          </w:p>
          <w:tbl>
            <w:tblPr>
              <w:tblStyle w:val="1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7" w:type="dxa"/>
                <w:bottom w:w="0" w:type="dxa"/>
                <w:right w:w="57" w:type="dxa"/>
              </w:tblCellMar>
            </w:tblPr>
            <w:tblGrid>
              <w:gridCol w:w="642"/>
              <w:gridCol w:w="1391"/>
              <w:gridCol w:w="829"/>
              <w:gridCol w:w="1034"/>
              <w:gridCol w:w="966"/>
              <w:gridCol w:w="1074"/>
              <w:gridCol w:w="1103"/>
              <w:gridCol w:w="109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340"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时段</w:t>
                  </w:r>
                </w:p>
              </w:tc>
              <w:tc>
                <w:tcPr>
                  <w:tcW w:w="853"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噪声设备</w:t>
                  </w:r>
                </w:p>
              </w:tc>
              <w:tc>
                <w:tcPr>
                  <w:tcW w:w="509"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数量（台）</w:t>
                  </w:r>
                </w:p>
              </w:tc>
              <w:tc>
                <w:tcPr>
                  <w:tcW w:w="635"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单台源强</w:t>
                  </w:r>
                </w:p>
              </w:tc>
              <w:tc>
                <w:tcPr>
                  <w:tcW w:w="593"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距声源</w:t>
                  </w:r>
                </w:p>
              </w:tc>
              <w:tc>
                <w:tcPr>
                  <w:tcW w:w="660"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噪声特性</w:t>
                  </w:r>
                </w:p>
              </w:tc>
              <w:tc>
                <w:tcPr>
                  <w:tcW w:w="678"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排放时间</w:t>
                  </w:r>
                </w:p>
              </w:tc>
              <w:tc>
                <w:tcPr>
                  <w:tcW w:w="675"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声源种类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340" w:hRule="atLeast"/>
                <w:jc w:val="center"/>
              </w:trPr>
              <w:tc>
                <w:tcPr>
                  <w:tcW w:w="394" w:type="pct"/>
                  <w:vMerge w:val="restart"/>
                  <w:tcBorders>
                    <w:top w:val="single" w:color="auto" w:sz="4" w:space="0"/>
                    <w:left w:val="single" w:color="auto" w:sz="4" w:space="0"/>
                    <w:right w:val="single" w:color="auto" w:sz="4" w:space="0"/>
                  </w:tcBorders>
                  <w:vAlign w:val="center"/>
                </w:tcPr>
                <w:p>
                  <w:pPr>
                    <w:pStyle w:val="20"/>
                  </w:pPr>
                  <w:r>
                    <w:t>钻井工程</w:t>
                  </w:r>
                </w:p>
              </w:tc>
              <w:tc>
                <w:tcPr>
                  <w:tcW w:w="853" w:type="pct"/>
                  <w:tcBorders>
                    <w:top w:val="single" w:color="auto" w:sz="4" w:space="0"/>
                    <w:left w:val="single" w:color="auto" w:sz="4" w:space="0"/>
                    <w:bottom w:val="single" w:color="auto" w:sz="4" w:space="0"/>
                    <w:right w:val="single" w:color="auto" w:sz="4" w:space="0"/>
                  </w:tcBorders>
                  <w:vAlign w:val="center"/>
                </w:tcPr>
                <w:p>
                  <w:pPr>
                    <w:pStyle w:val="20"/>
                  </w:pPr>
                  <w:r>
                    <w:t>钻井设备</w:t>
                  </w:r>
                </w:p>
              </w:tc>
              <w:tc>
                <w:tcPr>
                  <w:tcW w:w="829" w:type="dxa"/>
                  <w:tcBorders>
                    <w:top w:val="single" w:color="auto" w:sz="4" w:space="0"/>
                    <w:left w:val="single" w:color="auto" w:sz="4" w:space="0"/>
                    <w:bottom w:val="single" w:color="auto" w:sz="4" w:space="0"/>
                    <w:right w:val="single" w:color="auto" w:sz="4" w:space="0"/>
                  </w:tcBorders>
                  <w:vAlign w:val="center"/>
                </w:tcPr>
                <w:p>
                  <w:pPr>
                    <w:pStyle w:val="24"/>
                    <w:ind w:left="0" w:firstLine="0"/>
                  </w:pPr>
                  <w:r>
                    <w:rPr>
                      <w:rFonts w:ascii="Times New Roman" w:hAnsi="Times New Roman"/>
                      <w:szCs w:val="21"/>
                    </w:rPr>
                    <w:t>1</w:t>
                  </w:r>
                </w:p>
              </w:tc>
              <w:tc>
                <w:tcPr>
                  <w:tcW w:w="635" w:type="pct"/>
                  <w:tcBorders>
                    <w:top w:val="single" w:color="auto" w:sz="4" w:space="0"/>
                    <w:left w:val="single" w:color="auto" w:sz="4" w:space="0"/>
                    <w:bottom w:val="single" w:color="auto" w:sz="4" w:space="0"/>
                    <w:right w:val="single" w:color="auto" w:sz="4" w:space="0"/>
                  </w:tcBorders>
                  <w:vAlign w:val="center"/>
                </w:tcPr>
                <w:p>
                  <w:pPr>
                    <w:pStyle w:val="20"/>
                  </w:pPr>
                  <w:r>
                    <w:t>90</w:t>
                  </w:r>
                </w:p>
              </w:tc>
              <w:tc>
                <w:tcPr>
                  <w:tcW w:w="593" w:type="pct"/>
                  <w:tcBorders>
                    <w:top w:val="single" w:color="auto" w:sz="4" w:space="0"/>
                    <w:left w:val="single" w:color="auto" w:sz="4" w:space="0"/>
                    <w:bottom w:val="single" w:color="auto" w:sz="4" w:space="0"/>
                    <w:right w:val="single" w:color="auto" w:sz="4" w:space="0"/>
                  </w:tcBorders>
                  <w:vAlign w:val="center"/>
                </w:tcPr>
                <w:p>
                  <w:pPr>
                    <w:pStyle w:val="20"/>
                  </w:pPr>
                  <w:r>
                    <w:t>1m</w:t>
                  </w:r>
                </w:p>
              </w:tc>
              <w:tc>
                <w:tcPr>
                  <w:tcW w:w="660" w:type="pct"/>
                  <w:tcBorders>
                    <w:top w:val="single" w:color="auto" w:sz="4" w:space="0"/>
                    <w:left w:val="single" w:color="auto" w:sz="4" w:space="0"/>
                    <w:bottom w:val="single" w:color="auto" w:sz="4" w:space="0"/>
                    <w:right w:val="single" w:color="auto" w:sz="4" w:space="0"/>
                  </w:tcBorders>
                  <w:vAlign w:val="center"/>
                </w:tcPr>
                <w:p>
                  <w:pPr>
                    <w:pStyle w:val="20"/>
                  </w:pPr>
                  <w:r>
                    <w:t>机械</w:t>
                  </w:r>
                </w:p>
              </w:tc>
              <w:tc>
                <w:tcPr>
                  <w:tcW w:w="678" w:type="pct"/>
                  <w:tcBorders>
                    <w:top w:val="single" w:color="auto" w:sz="4" w:space="0"/>
                    <w:left w:val="single" w:color="auto" w:sz="4" w:space="0"/>
                    <w:bottom w:val="single" w:color="auto" w:sz="4" w:space="0"/>
                    <w:right w:val="single" w:color="auto" w:sz="4" w:space="0"/>
                  </w:tcBorders>
                  <w:vAlign w:val="center"/>
                </w:tcPr>
                <w:p>
                  <w:pPr>
                    <w:pStyle w:val="20"/>
                  </w:pPr>
                  <w:r>
                    <w:t>昼夜连续</w:t>
                  </w:r>
                </w:p>
              </w:tc>
              <w:tc>
                <w:tcPr>
                  <w:tcW w:w="675" w:type="pct"/>
                  <w:tcBorders>
                    <w:top w:val="single" w:color="auto" w:sz="4" w:space="0"/>
                    <w:left w:val="single" w:color="auto" w:sz="4" w:space="0"/>
                    <w:bottom w:val="single" w:color="auto" w:sz="4" w:space="0"/>
                    <w:right w:val="single" w:color="auto" w:sz="4" w:space="0"/>
                  </w:tcBorders>
                  <w:vAlign w:val="center"/>
                </w:tcPr>
                <w:p>
                  <w:pPr>
                    <w:pStyle w:val="20"/>
                  </w:pPr>
                  <w:r>
                    <w:t>固定声源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340" w:hRule="atLeast"/>
                <w:jc w:val="center"/>
              </w:trPr>
              <w:tc>
                <w:tcPr>
                  <w:tcW w:w="394" w:type="pct"/>
                  <w:vMerge w:val="continue"/>
                  <w:tcBorders>
                    <w:left w:val="single" w:color="auto" w:sz="4" w:space="0"/>
                    <w:right w:val="single" w:color="auto" w:sz="4" w:space="0"/>
                  </w:tcBorders>
                  <w:vAlign w:val="center"/>
                </w:tcPr>
                <w:p>
                  <w:pPr>
                    <w:pStyle w:val="20"/>
                  </w:pPr>
                </w:p>
              </w:tc>
              <w:tc>
                <w:tcPr>
                  <w:tcW w:w="853" w:type="pct"/>
                  <w:tcBorders>
                    <w:top w:val="single" w:color="auto" w:sz="4" w:space="0"/>
                    <w:left w:val="single" w:color="auto" w:sz="4" w:space="0"/>
                    <w:right w:val="single" w:color="auto" w:sz="4" w:space="0"/>
                  </w:tcBorders>
                  <w:vAlign w:val="center"/>
                </w:tcPr>
                <w:p>
                  <w:pPr>
                    <w:pStyle w:val="20"/>
                  </w:pPr>
                  <w:r>
                    <w:t>泥浆泵</w:t>
                  </w:r>
                </w:p>
              </w:tc>
              <w:tc>
                <w:tcPr>
                  <w:tcW w:w="829" w:type="dxa"/>
                  <w:tcBorders>
                    <w:top w:val="single" w:color="auto" w:sz="4" w:space="0"/>
                    <w:left w:val="single" w:color="auto" w:sz="4" w:space="0"/>
                    <w:right w:val="single" w:color="auto" w:sz="4" w:space="0"/>
                  </w:tcBorders>
                  <w:vAlign w:val="center"/>
                </w:tcPr>
                <w:p>
                  <w:pPr>
                    <w:pStyle w:val="24"/>
                    <w:ind w:left="0" w:firstLine="0"/>
                  </w:pPr>
                  <w:r>
                    <w:rPr>
                      <w:rFonts w:ascii="Times New Roman" w:hAnsi="Times New Roman"/>
                      <w:szCs w:val="21"/>
                    </w:rPr>
                    <w:t>3</w:t>
                  </w:r>
                </w:p>
              </w:tc>
              <w:tc>
                <w:tcPr>
                  <w:tcW w:w="635" w:type="pct"/>
                  <w:tcBorders>
                    <w:top w:val="single" w:color="auto" w:sz="4" w:space="0"/>
                    <w:left w:val="single" w:color="auto" w:sz="4" w:space="0"/>
                    <w:right w:val="single" w:color="auto" w:sz="4" w:space="0"/>
                  </w:tcBorders>
                  <w:vAlign w:val="center"/>
                </w:tcPr>
                <w:p>
                  <w:pPr>
                    <w:pStyle w:val="20"/>
                  </w:pPr>
                  <w:r>
                    <w:t>90</w:t>
                  </w:r>
                </w:p>
              </w:tc>
              <w:tc>
                <w:tcPr>
                  <w:tcW w:w="593" w:type="pct"/>
                  <w:tcBorders>
                    <w:top w:val="single" w:color="auto" w:sz="4" w:space="0"/>
                    <w:left w:val="single" w:color="auto" w:sz="4" w:space="0"/>
                    <w:right w:val="single" w:color="auto" w:sz="4" w:space="0"/>
                  </w:tcBorders>
                  <w:vAlign w:val="center"/>
                </w:tcPr>
                <w:p>
                  <w:pPr>
                    <w:pStyle w:val="20"/>
                  </w:pPr>
                  <w:r>
                    <w:t>1m</w:t>
                  </w:r>
                </w:p>
              </w:tc>
              <w:tc>
                <w:tcPr>
                  <w:tcW w:w="660" w:type="pct"/>
                  <w:tcBorders>
                    <w:top w:val="single" w:color="auto" w:sz="4" w:space="0"/>
                    <w:left w:val="single" w:color="auto" w:sz="4" w:space="0"/>
                    <w:right w:val="single" w:color="auto" w:sz="4" w:space="0"/>
                  </w:tcBorders>
                  <w:vAlign w:val="center"/>
                </w:tcPr>
                <w:p>
                  <w:pPr>
                    <w:pStyle w:val="20"/>
                  </w:pPr>
                  <w:r>
                    <w:t>机械</w:t>
                  </w:r>
                </w:p>
              </w:tc>
              <w:tc>
                <w:tcPr>
                  <w:tcW w:w="678" w:type="pct"/>
                  <w:tcBorders>
                    <w:top w:val="single" w:color="auto" w:sz="4" w:space="0"/>
                    <w:left w:val="single" w:color="auto" w:sz="4" w:space="0"/>
                    <w:right w:val="single" w:color="auto" w:sz="4" w:space="0"/>
                  </w:tcBorders>
                  <w:vAlign w:val="center"/>
                </w:tcPr>
                <w:p>
                  <w:pPr>
                    <w:pStyle w:val="20"/>
                  </w:pPr>
                  <w:r>
                    <w:t>昼夜连续</w:t>
                  </w:r>
                </w:p>
              </w:tc>
              <w:tc>
                <w:tcPr>
                  <w:tcW w:w="675" w:type="pct"/>
                  <w:tcBorders>
                    <w:top w:val="single" w:color="auto" w:sz="4" w:space="0"/>
                    <w:left w:val="single" w:color="auto" w:sz="4" w:space="0"/>
                    <w:right w:val="single" w:color="auto" w:sz="4" w:space="0"/>
                  </w:tcBorders>
                  <w:vAlign w:val="center"/>
                </w:tcPr>
                <w:p>
                  <w:pPr>
                    <w:pStyle w:val="20"/>
                  </w:pPr>
                  <w:r>
                    <w:t>固定声源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340" w:hRule="atLeast"/>
                <w:jc w:val="center"/>
              </w:trPr>
              <w:tc>
                <w:tcPr>
                  <w:tcW w:w="394" w:type="pct"/>
                  <w:vMerge w:val="continue"/>
                  <w:tcBorders>
                    <w:left w:val="single" w:color="auto" w:sz="4" w:space="0"/>
                    <w:right w:val="single" w:color="auto" w:sz="4" w:space="0"/>
                  </w:tcBorders>
                  <w:vAlign w:val="center"/>
                </w:tcPr>
                <w:p>
                  <w:pPr>
                    <w:pStyle w:val="20"/>
                  </w:pPr>
                </w:p>
              </w:tc>
              <w:tc>
                <w:tcPr>
                  <w:tcW w:w="853" w:type="pct"/>
                  <w:tcBorders>
                    <w:top w:val="single" w:color="auto" w:sz="4" w:space="0"/>
                    <w:left w:val="single" w:color="auto" w:sz="4" w:space="0"/>
                    <w:right w:val="single" w:color="auto" w:sz="4" w:space="0"/>
                  </w:tcBorders>
                  <w:vAlign w:val="center"/>
                </w:tcPr>
                <w:p>
                  <w:pPr>
                    <w:pStyle w:val="20"/>
                  </w:pPr>
                  <w:r>
                    <w:t>振动筛</w:t>
                  </w:r>
                </w:p>
              </w:tc>
              <w:tc>
                <w:tcPr>
                  <w:tcW w:w="829" w:type="dxa"/>
                  <w:tcBorders>
                    <w:top w:val="single" w:color="auto" w:sz="4" w:space="0"/>
                    <w:left w:val="single" w:color="auto" w:sz="4" w:space="0"/>
                    <w:right w:val="single" w:color="auto" w:sz="4" w:space="0"/>
                  </w:tcBorders>
                  <w:vAlign w:val="center"/>
                </w:tcPr>
                <w:p>
                  <w:pPr>
                    <w:pStyle w:val="24"/>
                    <w:ind w:left="0" w:firstLine="0"/>
                  </w:pPr>
                  <w:r>
                    <w:rPr>
                      <w:rFonts w:ascii="Times New Roman" w:hAnsi="Times New Roman"/>
                      <w:szCs w:val="21"/>
                    </w:rPr>
                    <w:t>3</w:t>
                  </w:r>
                </w:p>
              </w:tc>
              <w:tc>
                <w:tcPr>
                  <w:tcW w:w="635" w:type="pct"/>
                  <w:tcBorders>
                    <w:top w:val="single" w:color="auto" w:sz="4" w:space="0"/>
                    <w:left w:val="single" w:color="auto" w:sz="4" w:space="0"/>
                    <w:right w:val="single" w:color="auto" w:sz="4" w:space="0"/>
                  </w:tcBorders>
                  <w:vAlign w:val="center"/>
                </w:tcPr>
                <w:p>
                  <w:pPr>
                    <w:pStyle w:val="20"/>
                  </w:pPr>
                  <w:r>
                    <w:t>85</w:t>
                  </w:r>
                </w:p>
              </w:tc>
              <w:tc>
                <w:tcPr>
                  <w:tcW w:w="593" w:type="pct"/>
                  <w:tcBorders>
                    <w:top w:val="single" w:color="auto" w:sz="4" w:space="0"/>
                    <w:left w:val="single" w:color="auto" w:sz="4" w:space="0"/>
                    <w:right w:val="single" w:color="auto" w:sz="4" w:space="0"/>
                  </w:tcBorders>
                  <w:vAlign w:val="center"/>
                </w:tcPr>
                <w:p>
                  <w:pPr>
                    <w:pStyle w:val="20"/>
                  </w:pPr>
                  <w:r>
                    <w:t>1m</w:t>
                  </w:r>
                </w:p>
              </w:tc>
              <w:tc>
                <w:tcPr>
                  <w:tcW w:w="660" w:type="pct"/>
                  <w:tcBorders>
                    <w:top w:val="single" w:color="auto" w:sz="4" w:space="0"/>
                    <w:left w:val="single" w:color="auto" w:sz="4" w:space="0"/>
                    <w:right w:val="single" w:color="auto" w:sz="4" w:space="0"/>
                  </w:tcBorders>
                  <w:vAlign w:val="center"/>
                </w:tcPr>
                <w:p>
                  <w:pPr>
                    <w:pStyle w:val="20"/>
                  </w:pPr>
                  <w:r>
                    <w:t>机械</w:t>
                  </w:r>
                </w:p>
              </w:tc>
              <w:tc>
                <w:tcPr>
                  <w:tcW w:w="678" w:type="pct"/>
                  <w:tcBorders>
                    <w:top w:val="single" w:color="auto" w:sz="4" w:space="0"/>
                    <w:left w:val="single" w:color="auto" w:sz="4" w:space="0"/>
                    <w:right w:val="single" w:color="auto" w:sz="4" w:space="0"/>
                  </w:tcBorders>
                  <w:vAlign w:val="center"/>
                </w:tcPr>
                <w:p>
                  <w:pPr>
                    <w:pStyle w:val="20"/>
                  </w:pPr>
                  <w:r>
                    <w:t>昼夜连续</w:t>
                  </w:r>
                </w:p>
              </w:tc>
              <w:tc>
                <w:tcPr>
                  <w:tcW w:w="675" w:type="pct"/>
                  <w:tcBorders>
                    <w:top w:val="single" w:color="auto" w:sz="4" w:space="0"/>
                    <w:left w:val="single" w:color="auto" w:sz="4" w:space="0"/>
                    <w:right w:val="single" w:color="auto" w:sz="4" w:space="0"/>
                  </w:tcBorders>
                  <w:vAlign w:val="center"/>
                </w:tcPr>
                <w:p>
                  <w:pPr>
                    <w:pStyle w:val="20"/>
                  </w:pPr>
                  <w:r>
                    <w:t>固定声源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340" w:hRule="atLeast"/>
                <w:jc w:val="center"/>
              </w:trPr>
              <w:tc>
                <w:tcPr>
                  <w:tcW w:w="394" w:type="pct"/>
                  <w:vMerge w:val="continue"/>
                  <w:tcBorders>
                    <w:left w:val="single" w:color="auto" w:sz="4" w:space="0"/>
                    <w:right w:val="single" w:color="auto" w:sz="4" w:space="0"/>
                  </w:tcBorders>
                  <w:vAlign w:val="center"/>
                </w:tcPr>
                <w:p>
                  <w:pPr>
                    <w:pStyle w:val="20"/>
                  </w:pPr>
                </w:p>
              </w:tc>
              <w:tc>
                <w:tcPr>
                  <w:tcW w:w="853" w:type="pct"/>
                  <w:tcBorders>
                    <w:top w:val="single" w:color="auto" w:sz="4" w:space="0"/>
                    <w:left w:val="single" w:color="auto" w:sz="4" w:space="0"/>
                    <w:right w:val="single" w:color="auto" w:sz="4" w:space="0"/>
                  </w:tcBorders>
                  <w:vAlign w:val="center"/>
                </w:tcPr>
                <w:p>
                  <w:pPr>
                    <w:pStyle w:val="20"/>
                  </w:pPr>
                  <w:r>
                    <w:t>柴油发电机</w:t>
                  </w:r>
                </w:p>
              </w:tc>
              <w:tc>
                <w:tcPr>
                  <w:tcW w:w="829" w:type="dxa"/>
                  <w:tcBorders>
                    <w:top w:val="single" w:color="auto" w:sz="4" w:space="0"/>
                    <w:left w:val="single" w:color="auto" w:sz="4" w:space="0"/>
                    <w:right w:val="single" w:color="auto" w:sz="4" w:space="0"/>
                  </w:tcBorders>
                  <w:vAlign w:val="center"/>
                </w:tcPr>
                <w:p>
                  <w:pPr>
                    <w:pStyle w:val="24"/>
                    <w:ind w:left="0" w:firstLine="0"/>
                  </w:pPr>
                  <w:r>
                    <w:rPr>
                      <w:rFonts w:hint="eastAsia" w:ascii="Times New Roman" w:hAnsi="Times New Roman"/>
                      <w:szCs w:val="21"/>
                    </w:rPr>
                    <w:t>2</w:t>
                  </w:r>
                </w:p>
              </w:tc>
              <w:tc>
                <w:tcPr>
                  <w:tcW w:w="635" w:type="pct"/>
                  <w:tcBorders>
                    <w:top w:val="single" w:color="auto" w:sz="4" w:space="0"/>
                    <w:left w:val="single" w:color="auto" w:sz="4" w:space="0"/>
                    <w:right w:val="single" w:color="auto" w:sz="4" w:space="0"/>
                  </w:tcBorders>
                  <w:vAlign w:val="center"/>
                </w:tcPr>
                <w:p>
                  <w:pPr>
                    <w:pStyle w:val="20"/>
                  </w:pPr>
                  <w:r>
                    <w:t>100</w:t>
                  </w:r>
                </w:p>
              </w:tc>
              <w:tc>
                <w:tcPr>
                  <w:tcW w:w="593" w:type="pct"/>
                  <w:tcBorders>
                    <w:top w:val="single" w:color="auto" w:sz="4" w:space="0"/>
                    <w:left w:val="single" w:color="auto" w:sz="4" w:space="0"/>
                    <w:right w:val="single" w:color="auto" w:sz="4" w:space="0"/>
                  </w:tcBorders>
                  <w:vAlign w:val="center"/>
                </w:tcPr>
                <w:p>
                  <w:pPr>
                    <w:pStyle w:val="20"/>
                  </w:pPr>
                  <w:r>
                    <w:t>1m</w:t>
                  </w:r>
                </w:p>
              </w:tc>
              <w:tc>
                <w:tcPr>
                  <w:tcW w:w="660" w:type="pct"/>
                  <w:tcBorders>
                    <w:top w:val="single" w:color="auto" w:sz="4" w:space="0"/>
                    <w:left w:val="single" w:color="auto" w:sz="4" w:space="0"/>
                    <w:right w:val="single" w:color="auto" w:sz="4" w:space="0"/>
                  </w:tcBorders>
                  <w:vAlign w:val="center"/>
                </w:tcPr>
                <w:p>
                  <w:pPr>
                    <w:pStyle w:val="20"/>
                  </w:pPr>
                  <w:r>
                    <w:t>机械</w:t>
                  </w:r>
                </w:p>
              </w:tc>
              <w:tc>
                <w:tcPr>
                  <w:tcW w:w="678" w:type="pct"/>
                  <w:tcBorders>
                    <w:top w:val="single" w:color="auto" w:sz="4" w:space="0"/>
                    <w:left w:val="single" w:color="auto" w:sz="4" w:space="0"/>
                    <w:right w:val="single" w:color="auto" w:sz="4" w:space="0"/>
                  </w:tcBorders>
                  <w:vAlign w:val="center"/>
                </w:tcPr>
                <w:p>
                  <w:pPr>
                    <w:pStyle w:val="20"/>
                  </w:pPr>
                  <w:r>
                    <w:t>昼夜连续</w:t>
                  </w:r>
                </w:p>
              </w:tc>
              <w:tc>
                <w:tcPr>
                  <w:tcW w:w="675" w:type="pct"/>
                  <w:tcBorders>
                    <w:top w:val="single" w:color="auto" w:sz="4" w:space="0"/>
                    <w:left w:val="single" w:color="auto" w:sz="4" w:space="0"/>
                    <w:right w:val="single" w:color="auto" w:sz="4" w:space="0"/>
                  </w:tcBorders>
                  <w:vAlign w:val="center"/>
                </w:tcPr>
                <w:p>
                  <w:pPr>
                    <w:pStyle w:val="20"/>
                  </w:pPr>
                  <w:r>
                    <w:t>固定声源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340" w:hRule="atLeast"/>
                <w:jc w:val="center"/>
              </w:trPr>
              <w:tc>
                <w:tcPr>
                  <w:tcW w:w="394" w:type="pct"/>
                  <w:vMerge w:val="continue"/>
                  <w:tcBorders>
                    <w:left w:val="single" w:color="auto" w:sz="4" w:space="0"/>
                    <w:bottom w:val="single" w:color="auto" w:sz="4" w:space="0"/>
                    <w:right w:val="single" w:color="auto" w:sz="4" w:space="0"/>
                  </w:tcBorders>
                  <w:vAlign w:val="center"/>
                </w:tcPr>
                <w:p>
                  <w:pPr>
                    <w:pStyle w:val="20"/>
                  </w:pPr>
                </w:p>
              </w:tc>
              <w:tc>
                <w:tcPr>
                  <w:tcW w:w="853" w:type="pct"/>
                  <w:tcBorders>
                    <w:top w:val="single" w:color="auto" w:sz="4" w:space="0"/>
                    <w:left w:val="single" w:color="auto" w:sz="4" w:space="0"/>
                    <w:right w:val="single" w:color="auto" w:sz="4" w:space="0"/>
                  </w:tcBorders>
                  <w:vAlign w:val="center"/>
                </w:tcPr>
                <w:p>
                  <w:pPr>
                    <w:pStyle w:val="20"/>
                  </w:pPr>
                  <w:r>
                    <w:t>柴油动力机</w:t>
                  </w:r>
                </w:p>
              </w:tc>
              <w:tc>
                <w:tcPr>
                  <w:tcW w:w="829" w:type="dxa"/>
                  <w:tcBorders>
                    <w:top w:val="single" w:color="auto" w:sz="4" w:space="0"/>
                    <w:left w:val="single" w:color="auto" w:sz="4" w:space="0"/>
                    <w:right w:val="single" w:color="auto" w:sz="4" w:space="0"/>
                  </w:tcBorders>
                  <w:vAlign w:val="center"/>
                </w:tcPr>
                <w:p>
                  <w:pPr>
                    <w:pStyle w:val="24"/>
                    <w:ind w:left="0" w:firstLine="0"/>
                  </w:pPr>
                  <w:r>
                    <w:rPr>
                      <w:rFonts w:hint="eastAsia" w:ascii="Times New Roman" w:hAnsi="Times New Roman"/>
                      <w:szCs w:val="21"/>
                    </w:rPr>
                    <w:t>3</w:t>
                  </w:r>
                </w:p>
              </w:tc>
              <w:tc>
                <w:tcPr>
                  <w:tcW w:w="635" w:type="pct"/>
                  <w:tcBorders>
                    <w:top w:val="single" w:color="auto" w:sz="4" w:space="0"/>
                    <w:left w:val="single" w:color="auto" w:sz="4" w:space="0"/>
                    <w:right w:val="single" w:color="auto" w:sz="4" w:space="0"/>
                  </w:tcBorders>
                  <w:vAlign w:val="center"/>
                </w:tcPr>
                <w:p>
                  <w:pPr>
                    <w:pStyle w:val="20"/>
                  </w:pPr>
                  <w:r>
                    <w:t>95</w:t>
                  </w:r>
                </w:p>
              </w:tc>
              <w:tc>
                <w:tcPr>
                  <w:tcW w:w="593" w:type="pct"/>
                  <w:tcBorders>
                    <w:top w:val="single" w:color="auto" w:sz="4" w:space="0"/>
                    <w:left w:val="single" w:color="auto" w:sz="4" w:space="0"/>
                    <w:right w:val="single" w:color="auto" w:sz="4" w:space="0"/>
                  </w:tcBorders>
                  <w:vAlign w:val="center"/>
                </w:tcPr>
                <w:p>
                  <w:pPr>
                    <w:pStyle w:val="20"/>
                  </w:pPr>
                  <w:r>
                    <w:t>1m</w:t>
                  </w:r>
                </w:p>
              </w:tc>
              <w:tc>
                <w:tcPr>
                  <w:tcW w:w="660" w:type="pct"/>
                  <w:tcBorders>
                    <w:top w:val="single" w:color="auto" w:sz="4" w:space="0"/>
                    <w:left w:val="single" w:color="auto" w:sz="4" w:space="0"/>
                    <w:right w:val="single" w:color="auto" w:sz="4" w:space="0"/>
                  </w:tcBorders>
                  <w:vAlign w:val="center"/>
                </w:tcPr>
                <w:p>
                  <w:pPr>
                    <w:pStyle w:val="20"/>
                  </w:pPr>
                  <w:r>
                    <w:t>机械</w:t>
                  </w:r>
                </w:p>
              </w:tc>
              <w:tc>
                <w:tcPr>
                  <w:tcW w:w="678" w:type="pct"/>
                  <w:tcBorders>
                    <w:top w:val="single" w:color="auto" w:sz="4" w:space="0"/>
                    <w:left w:val="single" w:color="auto" w:sz="4" w:space="0"/>
                    <w:right w:val="single" w:color="auto" w:sz="4" w:space="0"/>
                  </w:tcBorders>
                  <w:vAlign w:val="center"/>
                </w:tcPr>
                <w:p>
                  <w:pPr>
                    <w:pStyle w:val="20"/>
                  </w:pPr>
                  <w:r>
                    <w:t>昼夜连续</w:t>
                  </w:r>
                </w:p>
              </w:tc>
              <w:tc>
                <w:tcPr>
                  <w:tcW w:w="675" w:type="pct"/>
                  <w:tcBorders>
                    <w:top w:val="single" w:color="auto" w:sz="4" w:space="0"/>
                    <w:left w:val="single" w:color="auto" w:sz="4" w:space="0"/>
                    <w:right w:val="single" w:color="auto" w:sz="4" w:space="0"/>
                  </w:tcBorders>
                  <w:vAlign w:val="center"/>
                </w:tcPr>
                <w:p>
                  <w:pPr>
                    <w:pStyle w:val="20"/>
                  </w:pPr>
                  <w:r>
                    <w:t>固定声源</w:t>
                  </w:r>
                </w:p>
              </w:tc>
            </w:tr>
          </w:tbl>
          <w:p>
            <w:pPr>
              <w:ind w:firstLine="480"/>
            </w:pPr>
            <w:r>
              <w:t>钻井过程中，不同类型施工机械在不同距离处的噪声预测值见表4-</w:t>
            </w:r>
            <w:r>
              <w:rPr>
                <w:rFonts w:hint="eastAsia"/>
              </w:rPr>
              <w:t>7</w:t>
            </w:r>
            <w:r>
              <w:t>。</w:t>
            </w:r>
          </w:p>
          <w:p>
            <w:pPr>
              <w:pStyle w:val="2"/>
              <w:spacing w:line="360" w:lineRule="auto"/>
              <w:rPr>
                <w:szCs w:val="21"/>
              </w:rPr>
            </w:pPr>
            <w:r>
              <w:rPr>
                <w:szCs w:val="21"/>
              </w:rPr>
              <w:t>表4-</w:t>
            </w:r>
            <w:r>
              <w:rPr>
                <w:rFonts w:hint="eastAsia"/>
                <w:szCs w:val="21"/>
              </w:rPr>
              <w:t>7</w:t>
            </w:r>
            <w:r>
              <w:rPr>
                <w:szCs w:val="21"/>
              </w:rPr>
              <w:t xml:space="preserve">  各种施工机械在不同距离的噪声预测值    单位：dB（A）</w:t>
            </w:r>
          </w:p>
          <w:tbl>
            <w:tblPr>
              <w:tblStyle w:val="14"/>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566"/>
              <w:gridCol w:w="514"/>
              <w:gridCol w:w="443"/>
              <w:gridCol w:w="457"/>
              <w:gridCol w:w="475"/>
              <w:gridCol w:w="478"/>
              <w:gridCol w:w="477"/>
              <w:gridCol w:w="479"/>
              <w:gridCol w:w="478"/>
              <w:gridCol w:w="479"/>
              <w:gridCol w:w="479"/>
              <w:gridCol w:w="473"/>
              <w:gridCol w:w="504"/>
              <w:gridCol w:w="504"/>
              <w:gridCol w:w="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距离（m）</w:t>
                  </w:r>
                </w:p>
              </w:tc>
              <w:tc>
                <w:tcPr>
                  <w:tcW w:w="348"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源强</w:t>
                  </w:r>
                </w:p>
              </w:tc>
              <w:tc>
                <w:tcPr>
                  <w:tcW w:w="316"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隔声后</w:t>
                  </w:r>
                </w:p>
              </w:tc>
              <w:tc>
                <w:tcPr>
                  <w:tcW w:w="27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5</w:t>
                  </w:r>
                </w:p>
              </w:tc>
              <w:tc>
                <w:tcPr>
                  <w:tcW w:w="281"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10</w:t>
                  </w:r>
                </w:p>
              </w:tc>
              <w:tc>
                <w:tcPr>
                  <w:tcW w:w="29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15</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20</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25</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30</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40</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50</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60</w:t>
                  </w:r>
                </w:p>
              </w:tc>
              <w:tc>
                <w:tcPr>
                  <w:tcW w:w="290"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80</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100</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b/>
                      <w:bCs/>
                    </w:rPr>
                    <w:t>160</w:t>
                  </w:r>
                </w:p>
              </w:tc>
              <w:tc>
                <w:tcPr>
                  <w:tcW w:w="308"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rPr>
                      <w:b/>
                      <w:bCs/>
                    </w:rPr>
                  </w:pPr>
                  <w:r>
                    <w:rPr>
                      <w:rFonts w:hint="eastAsia"/>
                      <w:b/>
                      <w:bCs/>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钻机</w:t>
                  </w:r>
                </w:p>
              </w:tc>
              <w:tc>
                <w:tcPr>
                  <w:tcW w:w="348"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90</w:t>
                  </w:r>
                </w:p>
              </w:tc>
              <w:tc>
                <w:tcPr>
                  <w:tcW w:w="316"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80</w:t>
                  </w:r>
                </w:p>
              </w:tc>
              <w:tc>
                <w:tcPr>
                  <w:tcW w:w="27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66</w:t>
                  </w:r>
                </w:p>
              </w:tc>
              <w:tc>
                <w:tcPr>
                  <w:tcW w:w="281"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60</w:t>
                  </w:r>
                </w:p>
              </w:tc>
              <w:tc>
                <w:tcPr>
                  <w:tcW w:w="29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56</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54</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52</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50</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48</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46</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44</w:t>
                  </w:r>
                </w:p>
              </w:tc>
              <w:tc>
                <w:tcPr>
                  <w:tcW w:w="290"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42</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40</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34</w:t>
                  </w:r>
                </w:p>
              </w:tc>
              <w:tc>
                <w:tcPr>
                  <w:tcW w:w="308" w:type="pct"/>
                  <w:tcBorders>
                    <w:top w:val="single" w:color="auto" w:sz="4" w:space="0"/>
                    <w:left w:val="single" w:color="auto" w:sz="4" w:space="0"/>
                    <w:bottom w:val="single" w:color="auto" w:sz="4" w:space="0"/>
                    <w:right w:val="single" w:color="auto" w:sz="4" w:space="0"/>
                  </w:tcBorders>
                  <w:vAlign w:val="center"/>
                </w:tcPr>
                <w:p>
                  <w:pPr>
                    <w:pStyle w:val="24"/>
                    <w:spacing w:before="24" w:after="24"/>
                    <w:ind w:left="-105" w:right="-105" w:firstLine="0"/>
                    <w:rPr>
                      <w:rFonts w:ascii="Times New Roman"/>
                    </w:rPr>
                  </w:pPr>
                  <w:r>
                    <w:rPr>
                      <w:rFonts w:ascii="Times New Roma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泥浆泵</w:t>
                  </w:r>
                </w:p>
              </w:tc>
              <w:tc>
                <w:tcPr>
                  <w:tcW w:w="348"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95</w:t>
                  </w:r>
                </w:p>
              </w:tc>
              <w:tc>
                <w:tcPr>
                  <w:tcW w:w="316"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85</w:t>
                  </w:r>
                </w:p>
              </w:tc>
              <w:tc>
                <w:tcPr>
                  <w:tcW w:w="27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71</w:t>
                  </w:r>
                </w:p>
              </w:tc>
              <w:tc>
                <w:tcPr>
                  <w:tcW w:w="281"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65</w:t>
                  </w:r>
                </w:p>
              </w:tc>
              <w:tc>
                <w:tcPr>
                  <w:tcW w:w="29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61</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59</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57</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55</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53</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51</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49</w:t>
                  </w:r>
                </w:p>
              </w:tc>
              <w:tc>
                <w:tcPr>
                  <w:tcW w:w="290"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47</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45</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42</w:t>
                  </w:r>
                </w:p>
              </w:tc>
              <w:tc>
                <w:tcPr>
                  <w:tcW w:w="308" w:type="pct"/>
                  <w:tcBorders>
                    <w:top w:val="single" w:color="auto" w:sz="4" w:space="0"/>
                    <w:left w:val="single" w:color="auto" w:sz="4" w:space="0"/>
                    <w:bottom w:val="single" w:color="auto" w:sz="4" w:space="0"/>
                    <w:right w:val="single" w:color="auto" w:sz="4" w:space="0"/>
                  </w:tcBorders>
                  <w:vAlign w:val="center"/>
                </w:tcPr>
                <w:p>
                  <w:pPr>
                    <w:pStyle w:val="24"/>
                    <w:spacing w:before="24" w:after="24"/>
                    <w:ind w:left="-105" w:right="-105" w:firstLine="0"/>
                    <w:rPr>
                      <w:rFonts w:ascii="Times New Roman"/>
                    </w:rPr>
                  </w:pPr>
                  <w:r>
                    <w:rPr>
                      <w:rFonts w:ascii="Times New Roma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柴油机</w:t>
                  </w:r>
                </w:p>
              </w:tc>
              <w:tc>
                <w:tcPr>
                  <w:tcW w:w="348"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rPr>
                      <w:rFonts w:hint="eastAsia"/>
                    </w:rPr>
                    <w:t>100</w:t>
                  </w:r>
                </w:p>
              </w:tc>
              <w:tc>
                <w:tcPr>
                  <w:tcW w:w="316"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90</w:t>
                  </w:r>
                </w:p>
              </w:tc>
              <w:tc>
                <w:tcPr>
                  <w:tcW w:w="27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76</w:t>
                  </w:r>
                </w:p>
              </w:tc>
              <w:tc>
                <w:tcPr>
                  <w:tcW w:w="281"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70</w:t>
                  </w:r>
                </w:p>
              </w:tc>
              <w:tc>
                <w:tcPr>
                  <w:tcW w:w="292"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67</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65</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63</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61</w:t>
                  </w:r>
                </w:p>
              </w:tc>
              <w:tc>
                <w:tcPr>
                  <w:tcW w:w="293"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59</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57</w:t>
                  </w:r>
                </w:p>
              </w:tc>
              <w:tc>
                <w:tcPr>
                  <w:tcW w:w="294"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55</w:t>
                  </w:r>
                </w:p>
              </w:tc>
              <w:tc>
                <w:tcPr>
                  <w:tcW w:w="290"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53</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51</w:t>
                  </w:r>
                </w:p>
              </w:tc>
              <w:tc>
                <w:tcPr>
                  <w:tcW w:w="309" w:type="pct"/>
                  <w:tcBorders>
                    <w:top w:val="single" w:color="auto" w:sz="4" w:space="0"/>
                    <w:left w:val="single" w:color="auto" w:sz="4" w:space="0"/>
                    <w:bottom w:val="single" w:color="auto" w:sz="4" w:space="0"/>
                    <w:right w:val="single" w:color="auto" w:sz="4" w:space="0"/>
                  </w:tcBorders>
                  <w:vAlign w:val="center"/>
                </w:tcPr>
                <w:p>
                  <w:pPr>
                    <w:pStyle w:val="10"/>
                    <w:ind w:left="0" w:firstLine="0"/>
                    <w:jc w:val="center"/>
                  </w:pPr>
                  <w:r>
                    <w:t>47</w:t>
                  </w:r>
                </w:p>
              </w:tc>
              <w:tc>
                <w:tcPr>
                  <w:tcW w:w="308" w:type="pct"/>
                  <w:tcBorders>
                    <w:top w:val="single" w:color="auto" w:sz="4" w:space="0"/>
                    <w:left w:val="single" w:color="auto" w:sz="4" w:space="0"/>
                    <w:bottom w:val="single" w:color="auto" w:sz="4" w:space="0"/>
                    <w:right w:val="single" w:color="auto" w:sz="4" w:space="0"/>
                  </w:tcBorders>
                  <w:vAlign w:val="center"/>
                </w:tcPr>
                <w:p>
                  <w:pPr>
                    <w:pStyle w:val="24"/>
                    <w:spacing w:before="24" w:after="24"/>
                    <w:ind w:left="-105" w:right="-105" w:firstLine="0"/>
                    <w:rPr>
                      <w:rFonts w:ascii="Times New Roman"/>
                    </w:rPr>
                  </w:pPr>
                  <w:r>
                    <w:rPr>
                      <w:rFonts w:ascii="Times New Roman"/>
                    </w:rPr>
                    <w:t>40</w:t>
                  </w:r>
                </w:p>
              </w:tc>
            </w:tr>
          </w:tbl>
          <w:p>
            <w:pPr>
              <w:pStyle w:val="21"/>
              <w:jc w:val="both"/>
            </w:pPr>
            <w:bookmarkStart w:id="39" w:name="_Toc565"/>
            <w:r>
              <w:t>根据预测结果，施工期间，</w:t>
            </w:r>
            <w:r>
              <w:rPr>
                <w:rFonts w:hint="eastAsia"/>
              </w:rPr>
              <w:t>柴油机</w:t>
            </w:r>
            <w:r>
              <w:t>的噪声在施工场</w:t>
            </w:r>
            <w:r>
              <w:rPr>
                <w:rFonts w:ascii="Times New Roman" w:hAnsi="Times New Roman"/>
              </w:rPr>
              <w:t>界外80m处时噪声达《建筑施工场界环境噪声排放标准》（GB12523-2011）标准要</w:t>
            </w:r>
            <w:r>
              <w:t>求</w:t>
            </w:r>
            <w:r>
              <w:rPr>
                <w:rFonts w:hint="eastAsia" w:ascii="Times New Roman" w:hAnsi="Times New Roman"/>
              </w:rPr>
              <w:t>（昼间70dB，夜间55dB），</w:t>
            </w:r>
            <w:r>
              <w:rPr>
                <w:rFonts w:ascii="Times New Roman" w:hAnsi="Times New Roman"/>
              </w:rPr>
              <w:t>钻机的噪声在施工场界外320m处时夜间噪声</w:t>
            </w:r>
            <w:r>
              <w:rPr>
                <w:rFonts w:hint="eastAsia" w:ascii="Times New Roman" w:hAnsi="Times New Roman"/>
              </w:rPr>
              <w:t>达到标准要求</w:t>
            </w:r>
            <w:r>
              <w:t>。同时，对高噪声设备采取隔声措施，并加强机械设备的保养，保证机械设备的正常运转，以降低设备正常运转的噪声。进一步落实以上措施后，钻井噪声对周边环境及施工人员的影响将进一步减少，钻井期产生噪声对周边环境影响不大。</w:t>
            </w:r>
          </w:p>
          <w:p>
            <w:pPr>
              <w:pStyle w:val="21"/>
            </w:pPr>
            <w:r>
              <w:rPr>
                <w:rFonts w:ascii="Times New Roman" w:hAnsi="Times New Roman"/>
              </w:rPr>
              <w:t>试油期</w:t>
            </w:r>
            <w:r>
              <w:rPr>
                <w:rFonts w:ascii="Times New Roman" w:hAnsi="Times New Roman"/>
                <w:kern w:val="0"/>
              </w:rPr>
              <w:t>时间短且产生噪声的设备少，试油期</w:t>
            </w:r>
            <w:r>
              <w:rPr>
                <w:rFonts w:ascii="Times New Roman" w:hAnsi="Times New Roman"/>
              </w:rPr>
              <w:t>产生噪声对周边环境影响不大。</w:t>
            </w:r>
          </w:p>
          <w:p>
            <w:pPr>
              <w:pStyle w:val="19"/>
              <w:rPr>
                <w:sz w:val="28"/>
                <w:szCs w:val="28"/>
              </w:rPr>
            </w:pPr>
            <w:r>
              <w:rPr>
                <w:sz w:val="28"/>
                <w:szCs w:val="28"/>
              </w:rPr>
              <w:t>4 施工期固体废物影响分析</w:t>
            </w:r>
            <w:bookmarkEnd w:id="39"/>
          </w:p>
          <w:p>
            <w:pPr>
              <w:ind w:firstLine="480"/>
            </w:pPr>
            <w:r>
              <w:t>本项目的固体废物主要为钻井期产生的钻井泥浆、钻井岩屑、生活垃圾，</w:t>
            </w:r>
            <w:r>
              <w:rPr>
                <w:rFonts w:hint="eastAsia"/>
              </w:rPr>
              <w:t>试油期产生的压裂返排液、落地油泥、机械设备废油和废弃防渗膜。</w:t>
            </w:r>
          </w:p>
          <w:p>
            <w:pPr>
              <w:numPr>
                <w:ilvl w:val="0"/>
                <w:numId w:val="2"/>
              </w:numPr>
              <w:ind w:firstLine="480"/>
            </w:pPr>
            <w:r>
              <w:t>钻井泥浆</w:t>
            </w:r>
          </w:p>
          <w:p>
            <w:pPr>
              <w:pStyle w:val="11"/>
              <w:spacing w:before="0"/>
              <w:ind w:left="0" w:firstLine="480"/>
              <w:rPr>
                <w:rFonts w:ascii="Times New Roman" w:hAnsi="Times New Roman" w:cs="Times New Roman"/>
              </w:rPr>
            </w:pPr>
            <w:r>
              <w:rPr>
                <w:rFonts w:ascii="Times New Roman" w:hAnsi="Times New Roman" w:cs="Times New Roman"/>
                <w:i w:val="0"/>
                <w:iCs w:val="0"/>
                <w:sz w:val="24"/>
                <w:szCs w:val="36"/>
              </w:rPr>
              <w:t>参照《排放源统计调查产排污核算方法和系数手册》（公告2021年第24号）中与石油和天然气开采有关的服务活动产排污系数计算泥浆的产生量，见表4-</w:t>
            </w:r>
            <w:r>
              <w:rPr>
                <w:rFonts w:hint="eastAsia" w:ascii="Times New Roman" w:hAnsi="Times New Roman" w:cs="Times New Roman"/>
                <w:i w:val="0"/>
                <w:iCs w:val="0"/>
                <w:sz w:val="24"/>
                <w:szCs w:val="36"/>
              </w:rPr>
              <w:t>8</w:t>
            </w:r>
            <w:r>
              <w:rPr>
                <w:rFonts w:ascii="Times New Roman" w:hAnsi="Times New Roman" w:cs="Times New Roman"/>
                <w:i w:val="0"/>
                <w:iCs w:val="0"/>
                <w:sz w:val="24"/>
                <w:szCs w:val="36"/>
              </w:rPr>
              <w:t>。</w:t>
            </w:r>
          </w:p>
          <w:p>
            <w:pPr>
              <w:ind w:firstLine="422"/>
              <w:jc w:val="center"/>
              <w:rPr>
                <w:b/>
                <w:bCs/>
                <w:sz w:val="21"/>
                <w:szCs w:val="21"/>
              </w:rPr>
            </w:pPr>
            <w:r>
              <w:rPr>
                <w:b/>
                <w:bCs/>
                <w:sz w:val="21"/>
                <w:szCs w:val="21"/>
              </w:rPr>
              <w:t>表4-</w:t>
            </w:r>
            <w:r>
              <w:rPr>
                <w:rFonts w:hint="eastAsia"/>
                <w:b/>
                <w:bCs/>
                <w:sz w:val="21"/>
                <w:szCs w:val="21"/>
              </w:rPr>
              <w:t>8</w:t>
            </w:r>
            <w:r>
              <w:rPr>
                <w:b/>
                <w:bCs/>
                <w:sz w:val="21"/>
                <w:szCs w:val="21"/>
              </w:rPr>
              <w:t xml:space="preserve">  石油和天然气开采有关的服务活动产排污系数一览表</w:t>
            </w:r>
          </w:p>
          <w:tbl>
            <w:tblPr>
              <w:tblStyle w:val="14"/>
              <w:tblW w:w="8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667"/>
              <w:gridCol w:w="638"/>
              <w:gridCol w:w="1178"/>
              <w:gridCol w:w="864"/>
              <w:gridCol w:w="864"/>
              <w:gridCol w:w="692"/>
              <w:gridCol w:w="1308"/>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412" w:type="pct"/>
                  <w:vAlign w:val="center"/>
                </w:tcPr>
                <w:p>
                  <w:pPr>
                    <w:pStyle w:val="20"/>
                    <w:rPr>
                      <w:b/>
                      <w:bCs/>
                    </w:rPr>
                  </w:pPr>
                  <w:r>
                    <w:rPr>
                      <w:b/>
                      <w:bCs/>
                    </w:rPr>
                    <w:t>产品名称</w:t>
                  </w:r>
                </w:p>
              </w:tc>
              <w:tc>
                <w:tcPr>
                  <w:tcW w:w="410" w:type="pct"/>
                  <w:vAlign w:val="center"/>
                </w:tcPr>
                <w:p>
                  <w:pPr>
                    <w:pStyle w:val="20"/>
                    <w:rPr>
                      <w:b/>
                      <w:bCs/>
                    </w:rPr>
                  </w:pPr>
                  <w:r>
                    <w:rPr>
                      <w:b/>
                      <w:bCs/>
                    </w:rPr>
                    <w:t>原料名称</w:t>
                  </w:r>
                </w:p>
              </w:tc>
              <w:tc>
                <w:tcPr>
                  <w:tcW w:w="392" w:type="pct"/>
                  <w:vAlign w:val="center"/>
                </w:tcPr>
                <w:p>
                  <w:pPr>
                    <w:pStyle w:val="20"/>
                    <w:rPr>
                      <w:b/>
                      <w:bCs/>
                    </w:rPr>
                  </w:pPr>
                  <w:r>
                    <w:rPr>
                      <w:b/>
                      <w:bCs/>
                    </w:rPr>
                    <w:t>工艺名称</w:t>
                  </w:r>
                </w:p>
              </w:tc>
              <w:tc>
                <w:tcPr>
                  <w:tcW w:w="723" w:type="pct"/>
                  <w:vAlign w:val="center"/>
                </w:tcPr>
                <w:p>
                  <w:pPr>
                    <w:pStyle w:val="20"/>
                    <w:rPr>
                      <w:b/>
                      <w:bCs/>
                    </w:rPr>
                  </w:pPr>
                  <w:r>
                    <w:rPr>
                      <w:b/>
                      <w:bCs/>
                    </w:rPr>
                    <w:t>规模等级</w:t>
                  </w:r>
                </w:p>
              </w:tc>
              <w:tc>
                <w:tcPr>
                  <w:tcW w:w="530" w:type="pct"/>
                  <w:vAlign w:val="center"/>
                </w:tcPr>
                <w:p>
                  <w:pPr>
                    <w:pStyle w:val="20"/>
                    <w:rPr>
                      <w:b/>
                      <w:bCs/>
                    </w:rPr>
                  </w:pPr>
                  <w:r>
                    <w:rPr>
                      <w:b/>
                      <w:bCs/>
                    </w:rPr>
                    <w:t>污染物类别</w:t>
                  </w:r>
                </w:p>
              </w:tc>
              <w:tc>
                <w:tcPr>
                  <w:tcW w:w="530" w:type="pct"/>
                  <w:vAlign w:val="center"/>
                </w:tcPr>
                <w:p>
                  <w:pPr>
                    <w:pStyle w:val="20"/>
                    <w:rPr>
                      <w:b/>
                      <w:bCs/>
                    </w:rPr>
                  </w:pPr>
                  <w:r>
                    <w:rPr>
                      <w:b/>
                      <w:bCs/>
                    </w:rPr>
                    <w:t>单位</w:t>
                  </w:r>
                </w:p>
              </w:tc>
              <w:tc>
                <w:tcPr>
                  <w:tcW w:w="425" w:type="pct"/>
                  <w:vAlign w:val="center"/>
                </w:tcPr>
                <w:p>
                  <w:pPr>
                    <w:pStyle w:val="20"/>
                    <w:rPr>
                      <w:b/>
                      <w:bCs/>
                    </w:rPr>
                  </w:pPr>
                  <w:r>
                    <w:rPr>
                      <w:b/>
                      <w:bCs/>
                    </w:rPr>
                    <w:t>产污系数</w:t>
                  </w:r>
                </w:p>
              </w:tc>
              <w:tc>
                <w:tcPr>
                  <w:tcW w:w="803" w:type="pct"/>
                  <w:vAlign w:val="center"/>
                </w:tcPr>
                <w:p>
                  <w:pPr>
                    <w:pStyle w:val="20"/>
                    <w:rPr>
                      <w:b/>
                      <w:bCs/>
                    </w:rPr>
                  </w:pPr>
                  <w:r>
                    <w:rPr>
                      <w:b/>
                      <w:bCs/>
                    </w:rPr>
                    <w:t>末端治理技术名称</w:t>
                  </w:r>
                </w:p>
              </w:tc>
              <w:tc>
                <w:tcPr>
                  <w:tcW w:w="770" w:type="pct"/>
                  <w:vAlign w:val="center"/>
                </w:tcPr>
                <w:p>
                  <w:pPr>
                    <w:pStyle w:val="20"/>
                    <w:rPr>
                      <w:b/>
                      <w:bCs/>
                    </w:rPr>
                  </w:pPr>
                  <w:r>
                    <w:rPr>
                      <w:b/>
                      <w:bCs/>
                    </w:rPr>
                    <w:t>排污系数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12" w:type="pct"/>
                  <w:vAlign w:val="center"/>
                </w:tcPr>
                <w:p>
                  <w:pPr>
                    <w:pStyle w:val="20"/>
                  </w:pPr>
                  <w:r>
                    <w:t>井下作业</w:t>
                  </w:r>
                </w:p>
              </w:tc>
              <w:tc>
                <w:tcPr>
                  <w:tcW w:w="410" w:type="pct"/>
                  <w:vAlign w:val="center"/>
                </w:tcPr>
                <w:p>
                  <w:pPr>
                    <w:pStyle w:val="20"/>
                  </w:pPr>
                  <w:r>
                    <w:t>钻井液</w:t>
                  </w:r>
                </w:p>
              </w:tc>
              <w:tc>
                <w:tcPr>
                  <w:tcW w:w="392" w:type="pct"/>
                  <w:vAlign w:val="center"/>
                </w:tcPr>
                <w:p>
                  <w:pPr>
                    <w:pStyle w:val="20"/>
                  </w:pPr>
                  <w:r>
                    <w:t>普通油井</w:t>
                  </w:r>
                </w:p>
              </w:tc>
              <w:tc>
                <w:tcPr>
                  <w:tcW w:w="723" w:type="pct"/>
                  <w:vAlign w:val="center"/>
                </w:tcPr>
                <w:p>
                  <w:pPr>
                    <w:pStyle w:val="20"/>
                  </w:pPr>
                  <w:r>
                    <w:rPr>
                      <w:rFonts w:hint="eastAsia"/>
                    </w:rPr>
                    <w:t>≤2.5</w:t>
                  </w:r>
                  <w:r>
                    <w:t>千米进尺</w:t>
                  </w:r>
                </w:p>
              </w:tc>
              <w:tc>
                <w:tcPr>
                  <w:tcW w:w="530" w:type="pct"/>
                  <w:vAlign w:val="center"/>
                </w:tcPr>
                <w:p>
                  <w:pPr>
                    <w:pStyle w:val="20"/>
                  </w:pPr>
                  <w:r>
                    <w:t>固体废物</w:t>
                  </w:r>
                </w:p>
              </w:tc>
              <w:tc>
                <w:tcPr>
                  <w:tcW w:w="530" w:type="pct"/>
                  <w:vAlign w:val="center"/>
                </w:tcPr>
                <w:p>
                  <w:pPr>
                    <w:pStyle w:val="20"/>
                  </w:pPr>
                  <w:r>
                    <w:t>t/井次-产品</w:t>
                  </w:r>
                </w:p>
              </w:tc>
              <w:tc>
                <w:tcPr>
                  <w:tcW w:w="425" w:type="pct"/>
                  <w:vAlign w:val="center"/>
                </w:tcPr>
                <w:p>
                  <w:pPr>
                    <w:pStyle w:val="20"/>
                  </w:pPr>
                  <w:r>
                    <w:t>吨/百米</w:t>
                  </w:r>
                </w:p>
              </w:tc>
              <w:tc>
                <w:tcPr>
                  <w:tcW w:w="803" w:type="pct"/>
                  <w:vAlign w:val="center"/>
                </w:tcPr>
                <w:p>
                  <w:pPr>
                    <w:pStyle w:val="20"/>
                  </w:pPr>
                  <w:r>
                    <w:t>无害化处理/处置/利用</w:t>
                  </w:r>
                </w:p>
              </w:tc>
              <w:tc>
                <w:tcPr>
                  <w:tcW w:w="770" w:type="pct"/>
                  <w:vAlign w:val="center"/>
                </w:tcPr>
                <w:p>
                  <w:pPr>
                    <w:pStyle w:val="20"/>
                  </w:pPr>
                  <w:r>
                    <w:rPr>
                      <w:rFonts w:hint="eastAsia"/>
                    </w:rPr>
                    <w:t>18.81</w:t>
                  </w:r>
                </w:p>
              </w:tc>
            </w:tr>
          </w:tbl>
          <w:p>
            <w:pPr>
              <w:pStyle w:val="21"/>
              <w:rPr>
                <w:rFonts w:ascii="Times New Roman" w:hAnsi="Times New Roman"/>
              </w:rPr>
            </w:pPr>
            <w:r>
              <w:rPr>
                <w:rFonts w:hint="eastAsia" w:ascii="Times New Roman" w:hAnsi="Times New Roman"/>
              </w:rPr>
              <w:t>本工程新钻井3口，钻井泥浆产生量见表4-9。</w:t>
            </w:r>
          </w:p>
          <w:p>
            <w:pPr>
              <w:pStyle w:val="21"/>
              <w:ind w:firstLine="0" w:firstLineChars="0"/>
              <w:jc w:val="center"/>
              <w:rPr>
                <w:rFonts w:ascii="Times New Roman" w:hAnsi="Times New Roman"/>
                <w:b/>
                <w:bCs/>
                <w:sz w:val="21"/>
                <w:szCs w:val="21"/>
              </w:rPr>
            </w:pPr>
            <w:r>
              <w:rPr>
                <w:rFonts w:hint="eastAsia" w:ascii="Times New Roman" w:hAnsi="Times New Roman"/>
                <w:b/>
                <w:bCs/>
                <w:sz w:val="21"/>
                <w:szCs w:val="21"/>
              </w:rPr>
              <w:t>表4-9  本工程钻井泥浆产生量</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2081"/>
              <w:gridCol w:w="1368"/>
              <w:gridCol w:w="3815"/>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pPr>
                    <w:pStyle w:val="21"/>
                    <w:spacing w:line="240" w:lineRule="auto"/>
                    <w:ind w:firstLine="0" w:firstLineChars="0"/>
                    <w:jc w:val="center"/>
                    <w:rPr>
                      <w:rFonts w:ascii="Times New Roman" w:hAnsi="Times New Roman"/>
                      <w:b/>
                      <w:bCs/>
                      <w:sz w:val="21"/>
                      <w:szCs w:val="21"/>
                    </w:rPr>
                  </w:pPr>
                  <w:r>
                    <w:rPr>
                      <w:rFonts w:ascii="Times New Roman" w:hAnsi="Times New Roman"/>
                      <w:b/>
                      <w:bCs/>
                      <w:sz w:val="21"/>
                      <w:szCs w:val="21"/>
                    </w:rPr>
                    <w:t>序号</w:t>
                  </w:r>
                </w:p>
              </w:tc>
              <w:tc>
                <w:tcPr>
                  <w:tcW w:w="1279" w:type="pct"/>
                  <w:vAlign w:val="center"/>
                </w:tcPr>
                <w:p>
                  <w:pPr>
                    <w:pStyle w:val="21"/>
                    <w:spacing w:line="240" w:lineRule="auto"/>
                    <w:ind w:firstLine="0" w:firstLineChars="0"/>
                    <w:jc w:val="center"/>
                    <w:rPr>
                      <w:rFonts w:ascii="Times New Roman" w:hAnsi="Times New Roman"/>
                      <w:b/>
                      <w:bCs/>
                      <w:sz w:val="21"/>
                      <w:szCs w:val="21"/>
                    </w:rPr>
                  </w:pPr>
                  <w:r>
                    <w:rPr>
                      <w:rFonts w:ascii="Times New Roman" w:hAnsi="Times New Roman"/>
                      <w:b/>
                      <w:bCs/>
                      <w:sz w:val="21"/>
                      <w:szCs w:val="21"/>
                    </w:rPr>
                    <w:t>井号</w:t>
                  </w:r>
                </w:p>
              </w:tc>
              <w:tc>
                <w:tcPr>
                  <w:tcW w:w="840" w:type="pct"/>
                  <w:vAlign w:val="center"/>
                </w:tcPr>
                <w:p>
                  <w:pPr>
                    <w:widowControl/>
                    <w:spacing w:line="240" w:lineRule="auto"/>
                    <w:ind w:firstLine="0" w:firstLineChars="0"/>
                    <w:jc w:val="center"/>
                    <w:textAlignment w:val="center"/>
                    <w:rPr>
                      <w:b/>
                      <w:bCs/>
                      <w:sz w:val="21"/>
                      <w:szCs w:val="21"/>
                    </w:rPr>
                  </w:pPr>
                  <w:r>
                    <w:rPr>
                      <w:rFonts w:hint="eastAsia"/>
                      <w:b/>
                      <w:bCs/>
                      <w:kern w:val="0"/>
                      <w:sz w:val="21"/>
                      <w:szCs w:val="21"/>
                      <w:lang w:bidi="ar"/>
                    </w:rPr>
                    <w:t>井深（m）</w:t>
                  </w:r>
                </w:p>
              </w:tc>
              <w:tc>
                <w:tcPr>
                  <w:tcW w:w="2350" w:type="pct"/>
                  <w:gridSpan w:val="2"/>
                  <w:vAlign w:val="center"/>
                </w:tcPr>
                <w:p>
                  <w:pPr>
                    <w:pStyle w:val="21"/>
                    <w:spacing w:line="240" w:lineRule="auto"/>
                    <w:ind w:firstLine="0" w:firstLineChars="0"/>
                    <w:jc w:val="center"/>
                    <w:rPr>
                      <w:rFonts w:ascii="Times New Roman" w:hAnsi="Times New Roman"/>
                      <w:b/>
                      <w:bCs/>
                      <w:sz w:val="21"/>
                      <w:szCs w:val="21"/>
                    </w:rPr>
                  </w:pPr>
                  <w:r>
                    <w:rPr>
                      <w:rFonts w:ascii="Times New Roman" w:hAnsi="Times New Roman"/>
                      <w:b/>
                      <w:bCs/>
                      <w:sz w:val="21"/>
                      <w:szCs w:val="21"/>
                    </w:rPr>
                    <w:t>泥浆量</w:t>
                  </w:r>
                  <w:r>
                    <w:rPr>
                      <w:rFonts w:hint="eastAsia" w:ascii="Times New Roman" w:hAnsi="Times New Roman"/>
                      <w:b/>
                      <w:bCs/>
                      <w:sz w:val="21"/>
                      <w:szCs w:val="21"/>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pPr>
                    <w:pStyle w:val="21"/>
                    <w:spacing w:line="240" w:lineRule="auto"/>
                    <w:ind w:firstLine="0" w:firstLineChars="0"/>
                    <w:jc w:val="center"/>
                    <w:rPr>
                      <w:rFonts w:ascii="Times New Roman" w:hAnsi="Times New Roman"/>
                      <w:sz w:val="21"/>
                      <w:szCs w:val="21"/>
                    </w:rPr>
                  </w:pPr>
                  <w:r>
                    <w:rPr>
                      <w:rFonts w:ascii="Times New Roman" w:hAnsi="Times New Roman"/>
                      <w:sz w:val="21"/>
                      <w:szCs w:val="21"/>
                    </w:rPr>
                    <w:t>1</w:t>
                  </w:r>
                </w:p>
              </w:tc>
              <w:tc>
                <w:tcPr>
                  <w:tcW w:w="1279"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夏065_H</w:t>
                  </w:r>
                </w:p>
              </w:tc>
              <w:tc>
                <w:tcPr>
                  <w:tcW w:w="840"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1940</w:t>
                  </w:r>
                </w:p>
              </w:tc>
              <w:tc>
                <w:tcPr>
                  <w:tcW w:w="2350" w:type="pct"/>
                  <w:gridSpan w:val="2"/>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364.91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pPr>
                    <w:pStyle w:val="21"/>
                    <w:spacing w:line="240" w:lineRule="auto"/>
                    <w:ind w:firstLine="0" w:firstLineChars="0"/>
                    <w:jc w:val="center"/>
                    <w:rPr>
                      <w:rFonts w:ascii="Times New Roman" w:hAnsi="Times New Roman"/>
                      <w:sz w:val="21"/>
                      <w:szCs w:val="21"/>
                    </w:rPr>
                  </w:pPr>
                  <w:r>
                    <w:rPr>
                      <w:rFonts w:ascii="Times New Roman" w:hAnsi="Times New Roman"/>
                      <w:sz w:val="21"/>
                      <w:szCs w:val="21"/>
                    </w:rPr>
                    <w:t>2</w:t>
                  </w:r>
                </w:p>
              </w:tc>
              <w:tc>
                <w:tcPr>
                  <w:tcW w:w="1279"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夏072_H</w:t>
                  </w:r>
                </w:p>
              </w:tc>
              <w:tc>
                <w:tcPr>
                  <w:tcW w:w="840"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2065</w:t>
                  </w:r>
                </w:p>
              </w:tc>
              <w:tc>
                <w:tcPr>
                  <w:tcW w:w="2350" w:type="pct"/>
                  <w:gridSpan w:val="2"/>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388.43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529" w:type="pct"/>
                  <w:vAlign w:val="center"/>
                </w:tcPr>
                <w:p>
                  <w:pPr>
                    <w:pStyle w:val="21"/>
                    <w:spacing w:line="240" w:lineRule="auto"/>
                    <w:ind w:firstLine="0" w:firstLineChars="0"/>
                    <w:jc w:val="center"/>
                    <w:rPr>
                      <w:rFonts w:ascii="Times New Roman" w:hAnsi="Times New Roman"/>
                      <w:sz w:val="21"/>
                      <w:szCs w:val="21"/>
                    </w:rPr>
                  </w:pPr>
                  <w:r>
                    <w:rPr>
                      <w:rFonts w:ascii="Times New Roman" w:hAnsi="Times New Roman"/>
                      <w:sz w:val="21"/>
                      <w:szCs w:val="21"/>
                    </w:rPr>
                    <w:t>3</w:t>
                  </w:r>
                </w:p>
              </w:tc>
              <w:tc>
                <w:tcPr>
                  <w:tcW w:w="1279"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夏073_H</w:t>
                  </w:r>
                </w:p>
              </w:tc>
              <w:tc>
                <w:tcPr>
                  <w:tcW w:w="840"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1940</w:t>
                  </w:r>
                </w:p>
              </w:tc>
              <w:tc>
                <w:tcPr>
                  <w:tcW w:w="2350" w:type="pct"/>
                  <w:gridSpan w:val="2"/>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364.91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Pr>
              <w:tc>
                <w:tcPr>
                  <w:tcW w:w="2649" w:type="pct"/>
                  <w:gridSpan w:val="3"/>
                  <w:vAlign w:val="center"/>
                </w:tcPr>
                <w:p>
                  <w:pPr>
                    <w:pStyle w:val="21"/>
                    <w:spacing w:line="240" w:lineRule="auto"/>
                    <w:ind w:firstLine="0" w:firstLineChars="0"/>
                    <w:jc w:val="center"/>
                    <w:rPr>
                      <w:rFonts w:ascii="Times New Roman" w:hAnsi="Times New Roman"/>
                      <w:sz w:val="21"/>
                      <w:szCs w:val="21"/>
                    </w:rPr>
                  </w:pPr>
                  <w:r>
                    <w:rPr>
                      <w:rFonts w:ascii="Times New Roman" w:hAnsi="Times New Roman"/>
                      <w:sz w:val="21"/>
                      <w:szCs w:val="21"/>
                    </w:rPr>
                    <w:t>合计</w:t>
                  </w:r>
                </w:p>
              </w:tc>
              <w:tc>
                <w:tcPr>
                  <w:tcW w:w="2345" w:type="pct"/>
                  <w:vAlign w:val="center"/>
                </w:tcPr>
                <w:p>
                  <w:pPr>
                    <w:pStyle w:val="21"/>
                    <w:spacing w:line="240" w:lineRule="auto"/>
                    <w:ind w:firstLine="0" w:firstLineChars="0"/>
                    <w:jc w:val="center"/>
                    <w:rPr>
                      <w:rFonts w:ascii="Times New Roman" w:hAnsi="Times New Roman"/>
                      <w:sz w:val="21"/>
                      <w:szCs w:val="21"/>
                    </w:rPr>
                  </w:pPr>
                  <w:r>
                    <w:rPr>
                      <w:rFonts w:hint="eastAsia" w:ascii="Times New Roman" w:hAnsi="Times New Roman"/>
                      <w:sz w:val="21"/>
                      <w:szCs w:val="21"/>
                    </w:rPr>
                    <w:t>1118.25</w:t>
                  </w:r>
                </w:p>
              </w:tc>
            </w:tr>
          </w:tbl>
          <w:p>
            <w:pPr>
              <w:pStyle w:val="23"/>
              <w:ind w:firstLine="480" w:firstLineChars="200"/>
              <w:rPr>
                <w:b w:val="0"/>
                <w:sz w:val="24"/>
                <w:szCs w:val="36"/>
              </w:rPr>
            </w:pPr>
            <w:r>
              <w:rPr>
                <w:rFonts w:hint="eastAsia"/>
                <w:b w:val="0"/>
                <w:sz w:val="24"/>
                <w:szCs w:val="36"/>
              </w:rPr>
              <w:t>根据表4-9计算，</w:t>
            </w:r>
            <w:r>
              <w:rPr>
                <w:b w:val="0"/>
                <w:sz w:val="24"/>
                <w:szCs w:val="36"/>
              </w:rPr>
              <w:t>废弃钻井</w:t>
            </w:r>
            <w:r>
              <w:rPr>
                <w:rFonts w:hint="eastAsia"/>
                <w:b w:val="0"/>
                <w:sz w:val="24"/>
                <w:szCs w:val="36"/>
              </w:rPr>
              <w:t>液</w:t>
            </w:r>
            <w:r>
              <w:rPr>
                <w:b w:val="0"/>
                <w:sz w:val="24"/>
                <w:szCs w:val="36"/>
              </w:rPr>
              <w:t>产生量</w:t>
            </w:r>
            <w:r>
              <w:rPr>
                <w:rFonts w:hint="eastAsia"/>
                <w:b w:val="0"/>
                <w:sz w:val="24"/>
                <w:szCs w:val="36"/>
              </w:rPr>
              <w:t>1118.25</w:t>
            </w:r>
            <w:r>
              <w:rPr>
                <w:b w:val="0"/>
                <w:sz w:val="24"/>
                <w:szCs w:val="36"/>
              </w:rPr>
              <w:t>t，</w:t>
            </w:r>
            <w:r>
              <w:rPr>
                <w:rFonts w:hint="eastAsia"/>
                <w:b w:val="0"/>
                <w:sz w:val="24"/>
                <w:szCs w:val="36"/>
              </w:rPr>
              <w:t>由钻井单位收集，回收后用于后续钻井液配置。</w:t>
            </w:r>
          </w:p>
          <w:p>
            <w:pPr>
              <w:ind w:firstLine="480"/>
            </w:pPr>
            <w:r>
              <w:t>（2）钻井岩屑</w:t>
            </w:r>
          </w:p>
          <w:p>
            <w:pPr>
              <w:ind w:firstLine="480"/>
            </w:pPr>
            <w:r>
              <w:t>钻井过程中，岩石经钻头和泥浆的研磨而破碎成岩屑，并经泥浆携带至地面，进入不落地处理系统。钻井岩屑产生、排放量与井身结构等因素有关，岩屑产生量可按下式计算：</w:t>
            </w:r>
          </w:p>
          <w:p>
            <w:pPr>
              <w:ind w:firstLine="0" w:firstLineChars="0"/>
              <w:jc w:val="center"/>
            </w:pPr>
            <w:r>
              <w:t>W=1/4×л×D</w:t>
            </w:r>
            <w:r>
              <w:rPr>
                <w:vertAlign w:val="superscript"/>
              </w:rPr>
              <w:t>2</w:t>
            </w:r>
            <w:r>
              <w:t>×h×α×d</w:t>
            </w:r>
          </w:p>
          <w:p>
            <w:pPr>
              <w:ind w:firstLine="480"/>
            </w:pPr>
            <w:r>
              <w:t>式中：W－钻井岩屑排放量，m</w:t>
            </w:r>
            <w:r>
              <w:rPr>
                <w:vertAlign w:val="superscript"/>
              </w:rPr>
              <w:t>3</w:t>
            </w:r>
            <w:r>
              <w:t>；</w:t>
            </w:r>
          </w:p>
          <w:p>
            <w:pPr>
              <w:ind w:firstLine="1200" w:firstLineChars="500"/>
            </w:pPr>
            <w:r>
              <w:t>D—井的直径（m）；一开0.445m，二开0.311m，三开0.216m；</w:t>
            </w:r>
          </w:p>
          <w:p>
            <w:pPr>
              <w:ind w:firstLine="1200" w:firstLineChars="500"/>
            </w:pPr>
            <w:r>
              <w:t>h－井深（m）；</w:t>
            </w:r>
          </w:p>
          <w:p>
            <w:pPr>
              <w:ind w:firstLine="1200" w:firstLineChars="500"/>
            </w:pPr>
            <w:r>
              <w:t>d－所钻岩石的密度（g/cm</w:t>
            </w:r>
            <w:r>
              <w:rPr>
                <w:vertAlign w:val="superscript"/>
              </w:rPr>
              <w:t>3</w:t>
            </w:r>
            <w:r>
              <w:t>），取2.5g/cm</w:t>
            </w:r>
            <w:r>
              <w:rPr>
                <w:vertAlign w:val="superscript"/>
              </w:rPr>
              <w:t>3</w:t>
            </w:r>
            <w:r>
              <w:t>；</w:t>
            </w:r>
          </w:p>
          <w:p>
            <w:pPr>
              <w:ind w:firstLine="1200" w:firstLineChars="500"/>
            </w:pPr>
            <w:r>
              <w:t>α－岩石膨胀系数，取2.2。</w:t>
            </w:r>
          </w:p>
          <w:p>
            <w:pPr>
              <w:ind w:firstLine="480"/>
            </w:pPr>
            <w:r>
              <w:t>由公式计算可得本工程钻井岩屑产生情况详见表4-10。</w:t>
            </w:r>
          </w:p>
          <w:p>
            <w:pPr>
              <w:pStyle w:val="2"/>
              <w:spacing w:line="360" w:lineRule="auto"/>
            </w:pPr>
            <w:r>
              <w:t xml:space="preserve">表4-10  </w:t>
            </w:r>
            <w:r>
              <w:rPr>
                <w:rFonts w:hint="eastAsia"/>
              </w:rPr>
              <w:t>本工程</w:t>
            </w:r>
            <w:r>
              <w:t>钻井岩屑产生情况表</w:t>
            </w:r>
          </w:p>
          <w:tbl>
            <w:tblPr>
              <w:tblStyle w:val="14"/>
              <w:tblW w:w="81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9"/>
              <w:gridCol w:w="1629"/>
              <w:gridCol w:w="1629"/>
              <w:gridCol w:w="1630"/>
              <w:gridCol w:w="1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629" w:type="dxa"/>
                  <w:vAlign w:val="center"/>
                </w:tcPr>
                <w:p>
                  <w:pPr>
                    <w:spacing w:line="240" w:lineRule="auto"/>
                    <w:ind w:firstLine="0" w:firstLineChars="0"/>
                    <w:jc w:val="center"/>
                    <w:rPr>
                      <w:b/>
                      <w:bCs/>
                      <w:sz w:val="21"/>
                      <w:szCs w:val="21"/>
                    </w:rPr>
                  </w:pPr>
                  <w:r>
                    <w:rPr>
                      <w:b/>
                      <w:bCs/>
                      <w:sz w:val="21"/>
                      <w:szCs w:val="21"/>
                    </w:rPr>
                    <w:t>井号</w:t>
                  </w:r>
                </w:p>
              </w:tc>
              <w:tc>
                <w:tcPr>
                  <w:tcW w:w="1629" w:type="dxa"/>
                  <w:vAlign w:val="center"/>
                </w:tcPr>
                <w:p>
                  <w:pPr>
                    <w:spacing w:line="240" w:lineRule="auto"/>
                    <w:ind w:firstLine="0" w:firstLineChars="0"/>
                    <w:jc w:val="center"/>
                    <w:rPr>
                      <w:b/>
                      <w:bCs/>
                      <w:sz w:val="21"/>
                      <w:szCs w:val="21"/>
                    </w:rPr>
                  </w:pPr>
                  <w:r>
                    <w:rPr>
                      <w:b/>
                      <w:bCs/>
                      <w:sz w:val="21"/>
                      <w:szCs w:val="21"/>
                    </w:rPr>
                    <w:t>一开</w:t>
                  </w:r>
                </w:p>
              </w:tc>
              <w:tc>
                <w:tcPr>
                  <w:tcW w:w="1629" w:type="dxa"/>
                  <w:vAlign w:val="center"/>
                </w:tcPr>
                <w:p>
                  <w:pPr>
                    <w:spacing w:line="240" w:lineRule="auto"/>
                    <w:ind w:firstLine="0" w:firstLineChars="0"/>
                    <w:jc w:val="center"/>
                    <w:rPr>
                      <w:b/>
                      <w:bCs/>
                      <w:sz w:val="21"/>
                      <w:szCs w:val="21"/>
                    </w:rPr>
                  </w:pPr>
                  <w:r>
                    <w:rPr>
                      <w:b/>
                      <w:bCs/>
                      <w:sz w:val="21"/>
                      <w:szCs w:val="21"/>
                    </w:rPr>
                    <w:t>二开</w:t>
                  </w:r>
                </w:p>
              </w:tc>
              <w:tc>
                <w:tcPr>
                  <w:tcW w:w="1630" w:type="dxa"/>
                  <w:vAlign w:val="center"/>
                </w:tcPr>
                <w:p>
                  <w:pPr>
                    <w:spacing w:line="240" w:lineRule="auto"/>
                    <w:ind w:firstLine="0" w:firstLineChars="0"/>
                    <w:jc w:val="center"/>
                    <w:rPr>
                      <w:b/>
                      <w:bCs/>
                      <w:sz w:val="21"/>
                      <w:szCs w:val="21"/>
                    </w:rPr>
                  </w:pPr>
                  <w:r>
                    <w:rPr>
                      <w:b/>
                      <w:bCs/>
                      <w:sz w:val="21"/>
                      <w:szCs w:val="21"/>
                    </w:rPr>
                    <w:t>三开</w:t>
                  </w:r>
                </w:p>
              </w:tc>
              <w:tc>
                <w:tcPr>
                  <w:tcW w:w="1630" w:type="dxa"/>
                  <w:vAlign w:val="center"/>
                </w:tcPr>
                <w:p>
                  <w:pPr>
                    <w:spacing w:line="240" w:lineRule="auto"/>
                    <w:ind w:firstLine="0" w:firstLineChars="0"/>
                    <w:jc w:val="center"/>
                    <w:rPr>
                      <w:b/>
                      <w:bCs/>
                      <w:sz w:val="21"/>
                      <w:szCs w:val="21"/>
                    </w:rPr>
                  </w:pPr>
                  <w:r>
                    <w:rPr>
                      <w:b/>
                      <w:bCs/>
                      <w:sz w:val="21"/>
                      <w:szCs w:val="21"/>
                    </w:rPr>
                    <w:t>岩屑量（</w:t>
                  </w:r>
                  <w:r>
                    <w:rPr>
                      <w:rFonts w:hint="eastAsia"/>
                      <w:b/>
                      <w:bCs/>
                      <w:sz w:val="21"/>
                      <w:szCs w:val="21"/>
                    </w:rPr>
                    <w:t>m</w:t>
                  </w:r>
                  <w:r>
                    <w:rPr>
                      <w:rFonts w:hint="eastAsia"/>
                      <w:b/>
                      <w:bCs/>
                      <w:sz w:val="21"/>
                      <w:szCs w:val="21"/>
                      <w:vertAlign w:val="superscript"/>
                    </w:rPr>
                    <w:t>3</w:t>
                  </w:r>
                  <w:r>
                    <w:rPr>
                      <w:b/>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9" w:type="dxa"/>
                  <w:vAlign w:val="center"/>
                </w:tcPr>
                <w:p>
                  <w:pPr>
                    <w:spacing w:line="240" w:lineRule="auto"/>
                    <w:ind w:firstLine="0" w:firstLineChars="0"/>
                    <w:jc w:val="center"/>
                    <w:rPr>
                      <w:sz w:val="21"/>
                      <w:szCs w:val="21"/>
                    </w:rPr>
                  </w:pPr>
                  <w:r>
                    <w:rPr>
                      <w:rFonts w:hint="eastAsia"/>
                      <w:sz w:val="21"/>
                      <w:szCs w:val="21"/>
                    </w:rPr>
                    <w:t>夏065</w:t>
                  </w:r>
                  <w:r>
                    <w:rPr>
                      <w:rFonts w:hint="eastAsia"/>
                    </w:rPr>
                    <w:t>_</w:t>
                  </w:r>
                  <w:r>
                    <w:rPr>
                      <w:rFonts w:hint="eastAsia"/>
                      <w:sz w:val="21"/>
                      <w:szCs w:val="21"/>
                    </w:rPr>
                    <w:t>H</w:t>
                  </w:r>
                </w:p>
              </w:tc>
              <w:tc>
                <w:tcPr>
                  <w:tcW w:w="1629" w:type="dxa"/>
                  <w:vAlign w:val="center"/>
                </w:tcPr>
                <w:p>
                  <w:pPr>
                    <w:spacing w:line="240" w:lineRule="auto"/>
                    <w:ind w:firstLine="0" w:firstLineChars="0"/>
                    <w:jc w:val="center"/>
                    <w:rPr>
                      <w:sz w:val="21"/>
                      <w:szCs w:val="21"/>
                    </w:rPr>
                  </w:pPr>
                  <w:r>
                    <w:rPr>
                      <w:rFonts w:hint="eastAsia"/>
                      <w:sz w:val="21"/>
                      <w:szCs w:val="21"/>
                    </w:rPr>
                    <w:t>68.24</w:t>
                  </w:r>
                </w:p>
              </w:tc>
              <w:tc>
                <w:tcPr>
                  <w:tcW w:w="1629" w:type="dxa"/>
                  <w:vAlign w:val="center"/>
                </w:tcPr>
                <w:p>
                  <w:pPr>
                    <w:spacing w:line="240" w:lineRule="auto"/>
                    <w:ind w:firstLine="0" w:firstLineChars="0"/>
                    <w:jc w:val="center"/>
                    <w:rPr>
                      <w:sz w:val="21"/>
                      <w:szCs w:val="21"/>
                    </w:rPr>
                  </w:pPr>
                  <w:r>
                    <w:rPr>
                      <w:rFonts w:hint="eastAsia"/>
                      <w:sz w:val="21"/>
                      <w:szCs w:val="21"/>
                    </w:rPr>
                    <w:t>217.43</w:t>
                  </w:r>
                </w:p>
              </w:tc>
              <w:tc>
                <w:tcPr>
                  <w:tcW w:w="1630" w:type="dxa"/>
                  <w:vAlign w:val="center"/>
                </w:tcPr>
                <w:p>
                  <w:pPr>
                    <w:spacing w:line="240" w:lineRule="auto"/>
                    <w:ind w:firstLine="0" w:firstLineChars="0"/>
                    <w:jc w:val="center"/>
                    <w:rPr>
                      <w:sz w:val="21"/>
                      <w:szCs w:val="21"/>
                    </w:rPr>
                  </w:pPr>
                  <w:r>
                    <w:rPr>
                      <w:rFonts w:hint="eastAsia"/>
                      <w:sz w:val="21"/>
                      <w:szCs w:val="21"/>
                    </w:rPr>
                    <w:t>27.05</w:t>
                  </w:r>
                </w:p>
              </w:tc>
              <w:tc>
                <w:tcPr>
                  <w:tcW w:w="1630" w:type="dxa"/>
                  <w:vAlign w:val="center"/>
                </w:tcPr>
                <w:p>
                  <w:pPr>
                    <w:spacing w:line="240" w:lineRule="auto"/>
                    <w:ind w:firstLine="0" w:firstLineChars="0"/>
                    <w:jc w:val="center"/>
                    <w:rPr>
                      <w:sz w:val="21"/>
                      <w:szCs w:val="21"/>
                    </w:rPr>
                  </w:pPr>
                  <w:r>
                    <w:rPr>
                      <w:rFonts w:hint="eastAsia"/>
                      <w:sz w:val="21"/>
                      <w:szCs w:val="21"/>
                    </w:rPr>
                    <w:t>312.72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9" w:type="dxa"/>
                  <w:vAlign w:val="center"/>
                </w:tcPr>
                <w:p>
                  <w:pPr>
                    <w:spacing w:line="240" w:lineRule="auto"/>
                    <w:ind w:firstLine="0" w:firstLineChars="0"/>
                    <w:jc w:val="center"/>
                    <w:rPr>
                      <w:sz w:val="21"/>
                      <w:szCs w:val="21"/>
                    </w:rPr>
                  </w:pPr>
                  <w:r>
                    <w:rPr>
                      <w:rFonts w:hint="eastAsia"/>
                      <w:sz w:val="21"/>
                      <w:szCs w:val="21"/>
                    </w:rPr>
                    <w:t>夏072</w:t>
                  </w:r>
                  <w:r>
                    <w:rPr>
                      <w:rFonts w:hint="eastAsia"/>
                    </w:rPr>
                    <w:t>_</w:t>
                  </w:r>
                  <w:r>
                    <w:rPr>
                      <w:rFonts w:hint="eastAsia"/>
                      <w:sz w:val="21"/>
                      <w:szCs w:val="21"/>
                    </w:rPr>
                    <w:t>H</w:t>
                  </w:r>
                </w:p>
              </w:tc>
              <w:tc>
                <w:tcPr>
                  <w:tcW w:w="1629" w:type="dxa"/>
                  <w:vAlign w:val="center"/>
                </w:tcPr>
                <w:p>
                  <w:pPr>
                    <w:spacing w:line="240" w:lineRule="auto"/>
                    <w:ind w:firstLine="0" w:firstLineChars="0"/>
                    <w:jc w:val="center"/>
                    <w:rPr>
                      <w:sz w:val="21"/>
                      <w:szCs w:val="21"/>
                    </w:rPr>
                  </w:pPr>
                  <w:r>
                    <w:rPr>
                      <w:rFonts w:hint="eastAsia"/>
                      <w:sz w:val="21"/>
                      <w:szCs w:val="21"/>
                    </w:rPr>
                    <w:t>68.24</w:t>
                  </w:r>
                </w:p>
              </w:tc>
              <w:tc>
                <w:tcPr>
                  <w:tcW w:w="1629" w:type="dxa"/>
                  <w:vAlign w:val="center"/>
                </w:tcPr>
                <w:p>
                  <w:pPr>
                    <w:spacing w:line="240" w:lineRule="auto"/>
                    <w:ind w:firstLine="0" w:firstLineChars="0"/>
                    <w:jc w:val="center"/>
                    <w:rPr>
                      <w:sz w:val="21"/>
                      <w:szCs w:val="21"/>
                    </w:rPr>
                  </w:pPr>
                  <w:r>
                    <w:rPr>
                      <w:rFonts w:hint="eastAsia"/>
                      <w:sz w:val="21"/>
                      <w:szCs w:val="21"/>
                    </w:rPr>
                    <w:t>217.43</w:t>
                  </w:r>
                </w:p>
              </w:tc>
              <w:tc>
                <w:tcPr>
                  <w:tcW w:w="1630" w:type="dxa"/>
                  <w:vAlign w:val="center"/>
                </w:tcPr>
                <w:p>
                  <w:pPr>
                    <w:spacing w:line="240" w:lineRule="auto"/>
                    <w:ind w:firstLine="0" w:firstLineChars="0"/>
                    <w:jc w:val="center"/>
                    <w:rPr>
                      <w:sz w:val="21"/>
                      <w:szCs w:val="21"/>
                    </w:rPr>
                  </w:pPr>
                  <w:r>
                    <w:rPr>
                      <w:rFonts w:hint="eastAsia"/>
                      <w:sz w:val="21"/>
                      <w:szCs w:val="21"/>
                    </w:rPr>
                    <w:t>53.69</w:t>
                  </w:r>
                </w:p>
              </w:tc>
              <w:tc>
                <w:tcPr>
                  <w:tcW w:w="1630" w:type="dxa"/>
                  <w:vAlign w:val="center"/>
                </w:tcPr>
                <w:p>
                  <w:pPr>
                    <w:spacing w:line="240" w:lineRule="auto"/>
                    <w:ind w:firstLine="0" w:firstLineChars="0"/>
                    <w:jc w:val="center"/>
                    <w:rPr>
                      <w:sz w:val="21"/>
                      <w:szCs w:val="21"/>
                    </w:rPr>
                  </w:pPr>
                  <w:r>
                    <w:rPr>
                      <w:rFonts w:hint="eastAsia"/>
                      <w:sz w:val="21"/>
                      <w:szCs w:val="21"/>
                    </w:rPr>
                    <w:t>339.37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9" w:type="dxa"/>
                  <w:vAlign w:val="center"/>
                </w:tcPr>
                <w:p>
                  <w:pPr>
                    <w:spacing w:line="240" w:lineRule="auto"/>
                    <w:ind w:firstLine="0" w:firstLineChars="0"/>
                    <w:jc w:val="center"/>
                    <w:rPr>
                      <w:sz w:val="21"/>
                      <w:szCs w:val="21"/>
                    </w:rPr>
                  </w:pPr>
                  <w:r>
                    <w:rPr>
                      <w:rFonts w:hint="eastAsia"/>
                      <w:sz w:val="21"/>
                      <w:szCs w:val="21"/>
                    </w:rPr>
                    <w:t>夏073</w:t>
                  </w:r>
                  <w:r>
                    <w:rPr>
                      <w:rFonts w:hint="eastAsia"/>
                    </w:rPr>
                    <w:t>_</w:t>
                  </w:r>
                  <w:r>
                    <w:rPr>
                      <w:rFonts w:hint="eastAsia"/>
                      <w:sz w:val="21"/>
                      <w:szCs w:val="21"/>
                    </w:rPr>
                    <w:t>H</w:t>
                  </w:r>
                </w:p>
              </w:tc>
              <w:tc>
                <w:tcPr>
                  <w:tcW w:w="1629" w:type="dxa"/>
                  <w:vAlign w:val="center"/>
                </w:tcPr>
                <w:p>
                  <w:pPr>
                    <w:spacing w:line="240" w:lineRule="auto"/>
                    <w:ind w:firstLine="0" w:firstLineChars="0"/>
                    <w:jc w:val="center"/>
                    <w:rPr>
                      <w:sz w:val="21"/>
                      <w:szCs w:val="21"/>
                    </w:rPr>
                  </w:pPr>
                  <w:r>
                    <w:rPr>
                      <w:rFonts w:hint="eastAsia"/>
                      <w:sz w:val="21"/>
                      <w:szCs w:val="21"/>
                    </w:rPr>
                    <w:t>68.24</w:t>
                  </w:r>
                </w:p>
              </w:tc>
              <w:tc>
                <w:tcPr>
                  <w:tcW w:w="1629" w:type="dxa"/>
                  <w:vAlign w:val="center"/>
                </w:tcPr>
                <w:p>
                  <w:pPr>
                    <w:spacing w:line="240" w:lineRule="auto"/>
                    <w:ind w:firstLine="0" w:firstLineChars="0"/>
                    <w:jc w:val="center"/>
                    <w:rPr>
                      <w:sz w:val="21"/>
                      <w:szCs w:val="21"/>
                    </w:rPr>
                  </w:pPr>
                  <w:r>
                    <w:rPr>
                      <w:rFonts w:hint="eastAsia"/>
                      <w:sz w:val="21"/>
                      <w:szCs w:val="21"/>
                    </w:rPr>
                    <w:t>217.43</w:t>
                  </w:r>
                </w:p>
              </w:tc>
              <w:tc>
                <w:tcPr>
                  <w:tcW w:w="1630" w:type="dxa"/>
                  <w:vAlign w:val="center"/>
                </w:tcPr>
                <w:p>
                  <w:pPr>
                    <w:spacing w:line="240" w:lineRule="auto"/>
                    <w:ind w:firstLine="0" w:firstLineChars="0"/>
                    <w:jc w:val="center"/>
                    <w:rPr>
                      <w:sz w:val="21"/>
                      <w:szCs w:val="21"/>
                    </w:rPr>
                  </w:pPr>
                  <w:r>
                    <w:rPr>
                      <w:rFonts w:hint="eastAsia"/>
                      <w:sz w:val="21"/>
                      <w:szCs w:val="21"/>
                    </w:rPr>
                    <w:t>16.34</w:t>
                  </w:r>
                </w:p>
              </w:tc>
              <w:tc>
                <w:tcPr>
                  <w:tcW w:w="1630" w:type="dxa"/>
                  <w:vAlign w:val="center"/>
                </w:tcPr>
                <w:p>
                  <w:pPr>
                    <w:spacing w:line="240" w:lineRule="auto"/>
                    <w:ind w:firstLine="0" w:firstLineChars="0"/>
                    <w:jc w:val="center"/>
                    <w:rPr>
                      <w:sz w:val="21"/>
                      <w:szCs w:val="21"/>
                    </w:rPr>
                  </w:pPr>
                  <w:r>
                    <w:rPr>
                      <w:rFonts w:hint="eastAsia"/>
                      <w:sz w:val="21"/>
                      <w:szCs w:val="21"/>
                    </w:rPr>
                    <w:t>302.01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7" w:type="dxa"/>
                  <w:gridSpan w:val="4"/>
                  <w:vAlign w:val="center"/>
                </w:tcPr>
                <w:p>
                  <w:pPr>
                    <w:spacing w:line="240" w:lineRule="auto"/>
                    <w:ind w:firstLine="0" w:firstLineChars="0"/>
                    <w:jc w:val="center"/>
                    <w:rPr>
                      <w:sz w:val="21"/>
                      <w:szCs w:val="21"/>
                    </w:rPr>
                  </w:pPr>
                  <w:r>
                    <w:rPr>
                      <w:rFonts w:hint="eastAsia"/>
                      <w:sz w:val="21"/>
                      <w:szCs w:val="21"/>
                    </w:rPr>
                    <w:t>总计</w:t>
                  </w:r>
                </w:p>
              </w:tc>
              <w:tc>
                <w:tcPr>
                  <w:tcW w:w="1630" w:type="dxa"/>
                  <w:vAlign w:val="center"/>
                </w:tcPr>
                <w:p>
                  <w:pPr>
                    <w:spacing w:line="240" w:lineRule="auto"/>
                    <w:ind w:firstLine="0" w:firstLineChars="0"/>
                    <w:jc w:val="center"/>
                    <w:rPr>
                      <w:sz w:val="21"/>
                      <w:szCs w:val="21"/>
                    </w:rPr>
                  </w:pPr>
                  <w:r>
                    <w:rPr>
                      <w:rFonts w:hint="eastAsia"/>
                      <w:sz w:val="21"/>
                      <w:szCs w:val="21"/>
                    </w:rPr>
                    <w:t>954.1</w:t>
                  </w:r>
                </w:p>
              </w:tc>
            </w:tr>
          </w:tbl>
          <w:p>
            <w:pPr>
              <w:ind w:firstLine="480"/>
            </w:pPr>
            <w:r>
              <w:t>泥浆不落地设备分离出的水基钻井岩屑</w:t>
            </w:r>
            <w:r>
              <w:rPr>
                <w:rFonts w:hint="eastAsia"/>
              </w:rPr>
              <w:t>收集</w:t>
            </w:r>
            <w:r>
              <w:t>于</w:t>
            </w:r>
            <w:r>
              <w:rPr>
                <w:rFonts w:hint="eastAsia"/>
              </w:rPr>
              <w:t>岩屑</w:t>
            </w:r>
            <w:r>
              <w:t>储罐，</w:t>
            </w:r>
            <w:r>
              <w:rPr>
                <w:rFonts w:hint="eastAsia"/>
              </w:rPr>
              <w:t>委托有资质的单位进行处置。</w:t>
            </w:r>
          </w:p>
          <w:p>
            <w:pPr>
              <w:pStyle w:val="21"/>
              <w:adjustRightInd/>
              <w:snapToGrid/>
              <w:jc w:val="both"/>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）压裂返排液</w:t>
            </w:r>
          </w:p>
          <w:p>
            <w:pPr>
              <w:pStyle w:val="21"/>
              <w:jc w:val="both"/>
              <w:rPr>
                <w:rFonts w:ascii="Times New Roman" w:hAnsi="Times New Roman"/>
                <w:szCs w:val="22"/>
              </w:rPr>
            </w:pPr>
            <w:r>
              <w:rPr>
                <w:rFonts w:ascii="Times New Roman" w:hAnsi="Times New Roman"/>
                <w:szCs w:val="22"/>
              </w:rPr>
              <w:t>本项目</w:t>
            </w:r>
            <w:r>
              <w:rPr>
                <w:rFonts w:hint="eastAsia" w:ascii="Times New Roman" w:hAnsi="Times New Roman"/>
                <w:szCs w:val="22"/>
              </w:rPr>
              <w:t>3</w:t>
            </w:r>
            <w:r>
              <w:rPr>
                <w:rFonts w:ascii="Times New Roman" w:hAnsi="Times New Roman"/>
                <w:szCs w:val="22"/>
              </w:rPr>
              <w:t>口新井完钻后须进行1次压裂作业，根据《排放源统计调查产排污核算方法和系数手册》（公告2021年第24号）结果，</w:t>
            </w:r>
            <w:r>
              <w:rPr>
                <w:rFonts w:hint="eastAsia" w:ascii="Times New Roman" w:hAnsi="Times New Roman"/>
                <w:szCs w:val="22"/>
              </w:rPr>
              <w:t>压裂返排液属于石油开采行业产生的固体废物，</w:t>
            </w:r>
            <w:r>
              <w:rPr>
                <w:rFonts w:ascii="Times New Roman" w:hAnsi="Times New Roman"/>
                <w:szCs w:val="22"/>
              </w:rPr>
              <w:t>压裂返排液排污系数为153.21m</w:t>
            </w:r>
            <w:r>
              <w:rPr>
                <w:rFonts w:ascii="Times New Roman" w:hAnsi="Times New Roman"/>
                <w:szCs w:val="22"/>
                <w:vertAlign w:val="superscript"/>
              </w:rPr>
              <w:t>3</w:t>
            </w:r>
            <w:r>
              <w:rPr>
                <w:rFonts w:ascii="Times New Roman" w:hAnsi="Times New Roman"/>
                <w:szCs w:val="22"/>
              </w:rPr>
              <w:t>/井。</w:t>
            </w:r>
            <w:r>
              <w:rPr>
                <w:rFonts w:hint="eastAsia" w:ascii="Times New Roman" w:hAnsi="Times New Roman"/>
                <w:szCs w:val="22"/>
              </w:rPr>
              <w:t>根据《危险废物环境管理 陆上石油天然气开采》（2021年12月21日实施）压裂返排液不属于表1石油开采过程中产生的主要危险废物。</w:t>
            </w:r>
          </w:p>
          <w:p>
            <w:pPr>
              <w:pStyle w:val="21"/>
              <w:adjustRightInd/>
              <w:snapToGrid/>
              <w:jc w:val="both"/>
              <w:rPr>
                <w:rFonts w:ascii="Times New Roman" w:hAnsi="Times New Roman"/>
                <w:szCs w:val="22"/>
              </w:rPr>
            </w:pPr>
            <w:r>
              <w:rPr>
                <w:rFonts w:ascii="Times New Roman" w:hAnsi="Times New Roman"/>
                <w:szCs w:val="22"/>
              </w:rPr>
              <w:t>本项目</w:t>
            </w:r>
            <w:r>
              <w:rPr>
                <w:rFonts w:hint="eastAsia" w:ascii="Times New Roman" w:hAnsi="Times New Roman"/>
                <w:szCs w:val="22"/>
              </w:rPr>
              <w:t>3</w:t>
            </w:r>
            <w:r>
              <w:rPr>
                <w:rFonts w:ascii="Times New Roman" w:hAnsi="Times New Roman"/>
                <w:szCs w:val="22"/>
              </w:rPr>
              <w:t>口井</w:t>
            </w:r>
            <w:r>
              <w:rPr>
                <w:rFonts w:hint="eastAsia" w:ascii="Times New Roman" w:hAnsi="Times New Roman"/>
                <w:szCs w:val="22"/>
              </w:rPr>
              <w:t>的</w:t>
            </w:r>
            <w:r>
              <w:rPr>
                <w:rFonts w:ascii="Times New Roman" w:hAnsi="Times New Roman"/>
                <w:szCs w:val="22"/>
              </w:rPr>
              <w:t>压裂返排液产生量共计</w:t>
            </w:r>
            <w:r>
              <w:rPr>
                <w:rFonts w:hint="eastAsia" w:ascii="Times New Roman" w:hAnsi="Times New Roman"/>
                <w:szCs w:val="22"/>
              </w:rPr>
              <w:t>459.63</w:t>
            </w:r>
            <w:r>
              <w:rPr>
                <w:rFonts w:ascii="Times New Roman" w:hAnsi="Times New Roman"/>
                <w:szCs w:val="22"/>
              </w:rPr>
              <w:t>m</w:t>
            </w:r>
            <w:r>
              <w:rPr>
                <w:rFonts w:ascii="Times New Roman" w:hAnsi="Times New Roman"/>
                <w:szCs w:val="22"/>
                <w:vertAlign w:val="superscript"/>
              </w:rPr>
              <w:t>3</w:t>
            </w:r>
            <w:r>
              <w:rPr>
                <w:rFonts w:ascii="Times New Roman" w:hAnsi="Times New Roman"/>
                <w:szCs w:val="22"/>
              </w:rPr>
              <w:t>，</w:t>
            </w:r>
            <w:r>
              <w:rPr>
                <w:rFonts w:ascii="Times New Roman" w:hAnsi="Times New Roman"/>
              </w:rPr>
              <w:t>参考同地区压裂返排液污染物浓度调查，COD浓度1000~5000mg/L，石油类浓度200~500mg/L。压裂返排液</w:t>
            </w:r>
            <w:r>
              <w:rPr>
                <w:rFonts w:ascii="Times New Roman" w:hAnsi="Times New Roman"/>
                <w:szCs w:val="22"/>
              </w:rPr>
              <w:t>进入</w:t>
            </w:r>
            <w:r>
              <w:rPr>
                <w:rFonts w:hint="eastAsia" w:ascii="Times New Roman" w:hAnsi="Times New Roman"/>
                <w:szCs w:val="22"/>
              </w:rPr>
              <w:t>乌尔禾稀油处理站污水处理系统处理</w:t>
            </w:r>
            <w:r>
              <w:rPr>
                <w:rFonts w:ascii="Times New Roman" w:hAnsi="Times New Roman"/>
                <w:szCs w:val="22"/>
              </w:rPr>
              <w:t>，</w:t>
            </w:r>
            <w:r>
              <w:rPr>
                <w:rFonts w:ascii="Times New Roman" w:hAnsi="Times New Roman"/>
              </w:rPr>
              <w:t>达到《碎屑岩油藏注水水质推荐指标及分析方法》（SY/T5329-2012）中标准后回注油藏，</w:t>
            </w:r>
            <w:r>
              <w:rPr>
                <w:rFonts w:ascii="Times New Roman" w:hAnsi="Times New Roman"/>
                <w:szCs w:val="22"/>
              </w:rPr>
              <w:t>拉运过程中要求满足《危险废物收集 贮存 运输技术规范》（HJ 2025-2012）</w:t>
            </w:r>
            <w:r>
              <w:rPr>
                <w:rFonts w:ascii="Times New Roman" w:hAnsi="Times New Roman"/>
              </w:rPr>
              <w:t>。</w:t>
            </w:r>
          </w:p>
          <w:p>
            <w:pPr>
              <w:ind w:left="480" w:leftChars="200" w:firstLine="0" w:firstLineChars="0"/>
            </w:pPr>
            <w:r>
              <w:t>（</w:t>
            </w:r>
            <w:r>
              <w:rPr>
                <w:rFonts w:hint="eastAsia"/>
              </w:rPr>
              <w:t>4</w:t>
            </w:r>
            <w:r>
              <w:t>）落地油泥</w:t>
            </w:r>
          </w:p>
          <w:p>
            <w:pPr>
              <w:ind w:firstLine="480"/>
            </w:pPr>
            <w:r>
              <w:t>本工程试油期间事故状态下可能产生少量落地油和含油污泥。依据建设单位方提供资料，项目钻井期落地油泥产生量为280kg/井，本项目新钻井</w:t>
            </w:r>
            <w:r>
              <w:rPr>
                <w:rFonts w:hint="eastAsia"/>
              </w:rPr>
              <w:t>3</w:t>
            </w:r>
            <w:r>
              <w:t>口，则项目产生落地油泥量为0.</w:t>
            </w:r>
            <w:r>
              <w:rPr>
                <w:rFonts w:hint="eastAsia"/>
              </w:rPr>
              <w:t>84</w:t>
            </w:r>
            <w:r>
              <w:t>t，落地油要求100%回收。项目产生的少量落地原油用专用罐收集，油泥（砂）委托有危废处置资质单位处理。</w:t>
            </w:r>
          </w:p>
          <w:p>
            <w:pPr>
              <w:pStyle w:val="23"/>
              <w:ind w:firstLine="480" w:firstLineChars="200"/>
            </w:pPr>
            <w:r>
              <w:rPr>
                <w:b w:val="0"/>
                <w:sz w:val="24"/>
              </w:rPr>
              <w:t>落地油泥按照《危险废物环境管理指南 陆上石油天然气开采行业》《国家危险废物名录》（2021年版）的划分为废矿物油与含矿物油废物类，其危险废物编号为HW08 071-001-08。</w:t>
            </w:r>
          </w:p>
          <w:p>
            <w:pPr>
              <w:ind w:firstLine="480"/>
            </w:pPr>
            <w:r>
              <w:t>（</w:t>
            </w:r>
            <w:r>
              <w:rPr>
                <w:rFonts w:hint="eastAsia"/>
              </w:rPr>
              <w:t>5</w:t>
            </w:r>
            <w:r>
              <w:t>）生活垃圾</w:t>
            </w:r>
          </w:p>
          <w:p>
            <w:pPr>
              <w:ind w:firstLine="480"/>
              <w:rPr>
                <w:b/>
              </w:rPr>
            </w:pPr>
            <w:r>
              <w:t>施工人员生活垃圾产生量按每人每天产生0.5kg计，施工期</w:t>
            </w:r>
            <w:r>
              <w:rPr>
                <w:rFonts w:hint="eastAsia"/>
              </w:rPr>
              <w:t>90</w:t>
            </w:r>
            <w:r>
              <w:t>天，施工人数35人，预计生活垃圾产生量为</w:t>
            </w:r>
            <w:r>
              <w:rPr>
                <w:rFonts w:hint="eastAsia"/>
              </w:rPr>
              <w:t>1.58</w:t>
            </w:r>
            <w:r>
              <w:t>t，由施工单位统一收集后运送至</w:t>
            </w:r>
            <w:r>
              <w:rPr>
                <w:rFonts w:hint="eastAsia"/>
                <w:bCs/>
              </w:rPr>
              <w:t>乌尔禾区生活垃圾填埋场</w:t>
            </w:r>
            <w:r>
              <w:t>处置。</w:t>
            </w:r>
          </w:p>
          <w:p>
            <w:pPr>
              <w:pStyle w:val="23"/>
              <w:ind w:firstLine="480" w:firstLineChars="200"/>
              <w:rPr>
                <w:b w:val="0"/>
                <w:sz w:val="24"/>
              </w:rPr>
            </w:pPr>
            <w:r>
              <w:rPr>
                <w:b w:val="0"/>
                <w:sz w:val="24"/>
              </w:rPr>
              <w:t>（</w:t>
            </w:r>
            <w:r>
              <w:rPr>
                <w:rFonts w:hint="eastAsia"/>
                <w:b w:val="0"/>
                <w:sz w:val="24"/>
              </w:rPr>
              <w:t>6</w:t>
            </w:r>
            <w:r>
              <w:rPr>
                <w:b w:val="0"/>
                <w:sz w:val="24"/>
              </w:rPr>
              <w:t>）机械设备废油</w:t>
            </w:r>
          </w:p>
          <w:p>
            <w:pPr>
              <w:pStyle w:val="23"/>
              <w:ind w:firstLine="480" w:firstLineChars="200"/>
              <w:rPr>
                <w:b w:val="0"/>
                <w:sz w:val="24"/>
              </w:rPr>
            </w:pPr>
            <w:r>
              <w:rPr>
                <w:b w:val="0"/>
                <w:sz w:val="24"/>
              </w:rPr>
              <w:t>钻井期间使用的机械设备运行过程中需进行维护、保养、维修等工作，以使其能正常运转，此过程中将产生少量的废矿物油，类比调查一个钻井期产生量不足0.5t，本工程产生量约</w:t>
            </w:r>
            <w:r>
              <w:rPr>
                <w:rFonts w:hint="eastAsia"/>
                <w:b w:val="0"/>
                <w:sz w:val="24"/>
              </w:rPr>
              <w:t>1.5</w:t>
            </w:r>
            <w:r>
              <w:rPr>
                <w:b w:val="0"/>
                <w:sz w:val="24"/>
              </w:rPr>
              <w:t>t，产生的废机油由钻井公司委托有危废处置资质的单位处置。</w:t>
            </w:r>
          </w:p>
          <w:p>
            <w:pPr>
              <w:pStyle w:val="23"/>
              <w:ind w:firstLine="480" w:firstLineChars="200"/>
              <w:rPr>
                <w:b w:val="0"/>
                <w:sz w:val="24"/>
              </w:rPr>
            </w:pPr>
            <w:r>
              <w:rPr>
                <w:b w:val="0"/>
                <w:sz w:val="24"/>
              </w:rPr>
              <w:t>机械设备废油按照《国家危险废物名录》（2021年版）的划分为废矿物油与含矿物油废物类，其危险废物编号为900-214-08。</w:t>
            </w:r>
          </w:p>
          <w:p>
            <w:pPr>
              <w:pStyle w:val="23"/>
              <w:ind w:firstLine="480" w:firstLineChars="200"/>
              <w:rPr>
                <w:b w:val="0"/>
                <w:sz w:val="24"/>
              </w:rPr>
            </w:pPr>
            <w:r>
              <w:rPr>
                <w:b w:val="0"/>
                <w:sz w:val="24"/>
              </w:rPr>
              <w:t>（</w:t>
            </w:r>
            <w:r>
              <w:rPr>
                <w:rFonts w:hint="eastAsia"/>
                <w:b w:val="0"/>
                <w:sz w:val="24"/>
              </w:rPr>
              <w:t>7</w:t>
            </w:r>
            <w:r>
              <w:rPr>
                <w:b w:val="0"/>
                <w:sz w:val="24"/>
              </w:rPr>
              <w:t>）废弃防渗膜</w:t>
            </w:r>
          </w:p>
          <w:p>
            <w:pPr>
              <w:pStyle w:val="23"/>
              <w:ind w:firstLine="480" w:firstLineChars="200"/>
              <w:rPr>
                <w:b w:val="0"/>
                <w:sz w:val="24"/>
              </w:rPr>
            </w:pPr>
            <w:r>
              <w:rPr>
                <w:b w:val="0"/>
                <w:sz w:val="24"/>
              </w:rPr>
              <w:t>本项目钻井施工期及试油作业期在施工区域铺垫防渗膜，防止施工过程中产生的废油污染土壤，防渗膜可重复利用，若使用过程中防渗膜破损无法再次利用，则沾满油泥的废弃防渗膜作为危险废物，委托有危废处置资质的资质单位处置。</w:t>
            </w:r>
          </w:p>
          <w:p>
            <w:pPr>
              <w:pStyle w:val="23"/>
              <w:ind w:firstLine="480" w:firstLineChars="200"/>
              <w:rPr>
                <w:b w:val="0"/>
                <w:sz w:val="24"/>
              </w:rPr>
            </w:pPr>
            <w:r>
              <w:rPr>
                <w:b w:val="0"/>
                <w:sz w:val="24"/>
              </w:rPr>
              <w:t>废弃防渗膜根据《危险废物环境管理指南 陆上石油天然气开采行业》的划分为废弃防渗材料，其危险废物编号为900-249-08。</w:t>
            </w:r>
          </w:p>
          <w:p>
            <w:pPr>
              <w:numPr>
                <w:ilvl w:val="0"/>
                <w:numId w:val="3"/>
              </w:numPr>
              <w:ind w:firstLine="480"/>
              <w:jc w:val="left"/>
            </w:pPr>
            <w:r>
              <w:t>（</w:t>
            </w:r>
            <w:r>
              <w:rPr>
                <w:rFonts w:hint="eastAsia"/>
              </w:rPr>
              <w:t>8</w:t>
            </w:r>
            <w:r>
              <w:t>）小结</w:t>
            </w:r>
          </w:p>
          <w:p>
            <w:pPr>
              <w:ind w:firstLine="480"/>
            </w:pPr>
            <w:bookmarkStart w:id="40" w:name="_Hlk48510422"/>
            <w:r>
              <w:t>本项目施工期固废的名称、类别、属性和数量等情况详见表4-11。采用如下措施处置后，本项目施工期所产生的各种固体废物均可得到有效的安全处置，对环境影响较小。</w:t>
            </w:r>
          </w:p>
          <w:p>
            <w:pPr>
              <w:pStyle w:val="2"/>
              <w:spacing w:line="360" w:lineRule="auto"/>
            </w:pPr>
            <w:bookmarkStart w:id="41" w:name="_Ref458582815"/>
            <w:bookmarkStart w:id="42" w:name="_Hlk48503266"/>
            <w:r>
              <w:t>表4-11  施工期固废情况一览表</w:t>
            </w:r>
          </w:p>
          <w:tbl>
            <w:tblPr>
              <w:tblStyle w:val="14"/>
              <w:tblW w:w="81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172"/>
              <w:gridCol w:w="667"/>
              <w:gridCol w:w="1587"/>
              <w:gridCol w:w="1079"/>
              <w:gridCol w:w="2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81" w:type="dxa"/>
                  <w:vAlign w:val="center"/>
                </w:tcPr>
                <w:p>
                  <w:pPr>
                    <w:pStyle w:val="20"/>
                    <w:rPr>
                      <w:b/>
                      <w:bCs/>
                    </w:rPr>
                  </w:pPr>
                  <w:r>
                    <w:rPr>
                      <w:b/>
                      <w:bCs/>
                    </w:rPr>
                    <w:t>序号</w:t>
                  </w:r>
                </w:p>
              </w:tc>
              <w:tc>
                <w:tcPr>
                  <w:tcW w:w="1172" w:type="dxa"/>
                  <w:vAlign w:val="center"/>
                </w:tcPr>
                <w:p>
                  <w:pPr>
                    <w:pStyle w:val="20"/>
                    <w:rPr>
                      <w:b/>
                      <w:bCs/>
                    </w:rPr>
                  </w:pPr>
                  <w:r>
                    <w:rPr>
                      <w:b/>
                      <w:bCs/>
                    </w:rPr>
                    <w:t>固废名称</w:t>
                  </w:r>
                </w:p>
              </w:tc>
              <w:tc>
                <w:tcPr>
                  <w:tcW w:w="667" w:type="dxa"/>
                  <w:vAlign w:val="center"/>
                </w:tcPr>
                <w:p>
                  <w:pPr>
                    <w:pStyle w:val="20"/>
                    <w:rPr>
                      <w:b/>
                      <w:bCs/>
                    </w:rPr>
                  </w:pPr>
                  <w:r>
                    <w:rPr>
                      <w:b/>
                      <w:bCs/>
                    </w:rPr>
                    <w:t>产生工序</w:t>
                  </w:r>
                </w:p>
              </w:tc>
              <w:tc>
                <w:tcPr>
                  <w:tcW w:w="1587" w:type="dxa"/>
                  <w:vAlign w:val="center"/>
                </w:tcPr>
                <w:p>
                  <w:pPr>
                    <w:pStyle w:val="20"/>
                    <w:rPr>
                      <w:b/>
                      <w:bCs/>
                    </w:rPr>
                  </w:pPr>
                  <w:r>
                    <w:rPr>
                      <w:b/>
                      <w:bCs/>
                    </w:rPr>
                    <w:t>固废属性</w:t>
                  </w:r>
                </w:p>
              </w:tc>
              <w:tc>
                <w:tcPr>
                  <w:tcW w:w="1079" w:type="dxa"/>
                  <w:vAlign w:val="center"/>
                </w:tcPr>
                <w:p>
                  <w:pPr>
                    <w:pStyle w:val="20"/>
                    <w:rPr>
                      <w:b/>
                      <w:bCs/>
                    </w:rPr>
                  </w:pPr>
                  <w:r>
                    <w:rPr>
                      <w:b/>
                      <w:bCs/>
                    </w:rPr>
                    <w:t>产生量</w:t>
                  </w:r>
                </w:p>
              </w:tc>
              <w:tc>
                <w:tcPr>
                  <w:tcW w:w="2759" w:type="dxa"/>
                  <w:vAlign w:val="center"/>
                </w:tcPr>
                <w:p>
                  <w:pPr>
                    <w:pStyle w:val="20"/>
                    <w:rPr>
                      <w:b/>
                      <w:bCs/>
                    </w:rPr>
                  </w:pPr>
                  <w:r>
                    <w:rPr>
                      <w:b/>
                      <w:bCs/>
                    </w:rPr>
                    <w:t>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6" w:hRule="atLeast"/>
                <w:jc w:val="center"/>
              </w:trPr>
              <w:tc>
                <w:tcPr>
                  <w:tcW w:w="881" w:type="dxa"/>
                  <w:vAlign w:val="center"/>
                </w:tcPr>
                <w:p>
                  <w:pPr>
                    <w:pStyle w:val="20"/>
                  </w:pPr>
                  <w:r>
                    <w:t>1</w:t>
                  </w:r>
                </w:p>
              </w:tc>
              <w:tc>
                <w:tcPr>
                  <w:tcW w:w="1172" w:type="dxa"/>
                  <w:vAlign w:val="center"/>
                </w:tcPr>
                <w:p>
                  <w:pPr>
                    <w:pStyle w:val="20"/>
                  </w:pPr>
                  <w:r>
                    <w:t>钻井岩屑</w:t>
                  </w:r>
                </w:p>
              </w:tc>
              <w:tc>
                <w:tcPr>
                  <w:tcW w:w="667" w:type="dxa"/>
                  <w:vAlign w:val="center"/>
                </w:tcPr>
                <w:p>
                  <w:pPr>
                    <w:pStyle w:val="20"/>
                  </w:pPr>
                  <w:r>
                    <w:t>钻井</w:t>
                  </w:r>
                </w:p>
              </w:tc>
              <w:tc>
                <w:tcPr>
                  <w:tcW w:w="1587" w:type="dxa"/>
                  <w:vAlign w:val="center"/>
                </w:tcPr>
                <w:p>
                  <w:pPr>
                    <w:pStyle w:val="20"/>
                  </w:pPr>
                  <w:r>
                    <w:t>一般工业固废（</w:t>
                  </w:r>
                  <w:r>
                    <w:rPr>
                      <w:rFonts w:hint="eastAsia"/>
                    </w:rPr>
                    <w:t>SW12</w:t>
                  </w:r>
                  <w:r>
                    <w:t>）</w:t>
                  </w:r>
                </w:p>
              </w:tc>
              <w:tc>
                <w:tcPr>
                  <w:tcW w:w="1079" w:type="dxa"/>
                  <w:vAlign w:val="center"/>
                </w:tcPr>
                <w:p>
                  <w:pPr>
                    <w:pStyle w:val="20"/>
                  </w:pPr>
                  <w:r>
                    <w:rPr>
                      <w:rFonts w:hint="eastAsia"/>
                    </w:rPr>
                    <w:t>954.1m</w:t>
                  </w:r>
                  <w:r>
                    <w:rPr>
                      <w:rFonts w:hint="eastAsia"/>
                      <w:vertAlign w:val="superscript"/>
                    </w:rPr>
                    <w:t>3</w:t>
                  </w:r>
                </w:p>
              </w:tc>
              <w:tc>
                <w:tcPr>
                  <w:tcW w:w="2759" w:type="dxa"/>
                  <w:vMerge w:val="restart"/>
                  <w:vAlign w:val="center"/>
                </w:tcPr>
                <w:p>
                  <w:pPr>
                    <w:pStyle w:val="20"/>
                  </w:pPr>
                  <w:r>
                    <w:t>采用“泥浆不落地工艺”进行固液分离，钻井泥浆循环使用，完井后剩余泥浆由专业服务公司进行回收利用。分离出的钻井岩屑委托</w:t>
                  </w:r>
                  <w:r>
                    <w:rPr>
                      <w:rFonts w:hint="eastAsia"/>
                    </w:rPr>
                    <w:t>有资质的单位</w:t>
                  </w:r>
                  <w:r>
                    <w:t>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81" w:type="dxa"/>
                  <w:vAlign w:val="center"/>
                </w:tcPr>
                <w:p>
                  <w:pPr>
                    <w:pStyle w:val="20"/>
                  </w:pPr>
                  <w:r>
                    <w:t>2</w:t>
                  </w:r>
                </w:p>
              </w:tc>
              <w:tc>
                <w:tcPr>
                  <w:tcW w:w="1172" w:type="dxa"/>
                  <w:vAlign w:val="center"/>
                </w:tcPr>
                <w:p>
                  <w:pPr>
                    <w:pStyle w:val="20"/>
                  </w:pPr>
                  <w:r>
                    <w:t>钻井泥浆</w:t>
                  </w:r>
                </w:p>
              </w:tc>
              <w:tc>
                <w:tcPr>
                  <w:tcW w:w="667" w:type="dxa"/>
                  <w:vAlign w:val="center"/>
                </w:tcPr>
                <w:p>
                  <w:pPr>
                    <w:pStyle w:val="20"/>
                  </w:pPr>
                  <w:r>
                    <w:t>钻井</w:t>
                  </w:r>
                </w:p>
              </w:tc>
              <w:tc>
                <w:tcPr>
                  <w:tcW w:w="1587" w:type="dxa"/>
                  <w:vAlign w:val="center"/>
                </w:tcPr>
                <w:p>
                  <w:pPr>
                    <w:pStyle w:val="20"/>
                  </w:pPr>
                  <w:r>
                    <w:t>一般工业固废（900-999-99）</w:t>
                  </w:r>
                </w:p>
              </w:tc>
              <w:tc>
                <w:tcPr>
                  <w:tcW w:w="1079" w:type="dxa"/>
                  <w:vAlign w:val="center"/>
                </w:tcPr>
                <w:p>
                  <w:pPr>
                    <w:pStyle w:val="20"/>
                  </w:pPr>
                  <w:r>
                    <w:rPr>
                      <w:rFonts w:hint="eastAsia"/>
                    </w:rPr>
                    <w:t>1118.25</w:t>
                  </w:r>
                  <w:r>
                    <w:t>t</w:t>
                  </w:r>
                </w:p>
              </w:tc>
              <w:tc>
                <w:tcPr>
                  <w:tcW w:w="2759" w:type="dxa"/>
                  <w:vMerge w:val="continue"/>
                  <w:vAlign w:val="center"/>
                </w:tcPr>
                <w:p>
                  <w:pPr>
                    <w:pStyle w:val="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81" w:type="dxa"/>
                  <w:vAlign w:val="center"/>
                </w:tcPr>
                <w:p>
                  <w:pPr>
                    <w:pStyle w:val="20"/>
                  </w:pPr>
                  <w:r>
                    <w:t>3</w:t>
                  </w:r>
                </w:p>
              </w:tc>
              <w:tc>
                <w:tcPr>
                  <w:tcW w:w="1172" w:type="dxa"/>
                  <w:vAlign w:val="center"/>
                </w:tcPr>
                <w:p>
                  <w:pPr>
                    <w:pStyle w:val="20"/>
                  </w:pPr>
                  <w:r>
                    <w:rPr>
                      <w:rFonts w:hint="eastAsia"/>
                    </w:rPr>
                    <w:t>压裂返排液</w:t>
                  </w:r>
                </w:p>
              </w:tc>
              <w:tc>
                <w:tcPr>
                  <w:tcW w:w="667" w:type="dxa"/>
                  <w:vAlign w:val="center"/>
                </w:tcPr>
                <w:p>
                  <w:pPr>
                    <w:pStyle w:val="20"/>
                  </w:pPr>
                  <w:r>
                    <w:rPr>
                      <w:rFonts w:hint="eastAsia"/>
                    </w:rPr>
                    <w:t>井下作业</w:t>
                  </w:r>
                </w:p>
              </w:tc>
              <w:tc>
                <w:tcPr>
                  <w:tcW w:w="1587" w:type="dxa"/>
                  <w:vAlign w:val="center"/>
                </w:tcPr>
                <w:p>
                  <w:pPr>
                    <w:pStyle w:val="10"/>
                    <w:ind w:left="0" w:firstLine="0"/>
                    <w:jc w:val="center"/>
                  </w:pPr>
                  <w:r>
                    <w:rPr>
                      <w:rFonts w:hint="eastAsia"/>
                    </w:rPr>
                    <w:t>/</w:t>
                  </w:r>
                </w:p>
              </w:tc>
              <w:tc>
                <w:tcPr>
                  <w:tcW w:w="1079" w:type="dxa"/>
                  <w:vAlign w:val="center"/>
                </w:tcPr>
                <w:p>
                  <w:pPr>
                    <w:pStyle w:val="10"/>
                    <w:ind w:left="0" w:firstLine="0"/>
                    <w:jc w:val="center"/>
                  </w:pPr>
                  <w:r>
                    <w:rPr>
                      <w:rFonts w:hint="eastAsia"/>
                    </w:rPr>
                    <w:t>459.63</w:t>
                  </w:r>
                  <w:r>
                    <w:t>m</w:t>
                  </w:r>
                  <w:r>
                    <w:rPr>
                      <w:vertAlign w:val="superscript"/>
                    </w:rPr>
                    <w:t>3</w:t>
                  </w:r>
                </w:p>
              </w:tc>
              <w:tc>
                <w:tcPr>
                  <w:tcW w:w="2759" w:type="dxa"/>
                  <w:vAlign w:val="center"/>
                </w:tcPr>
                <w:p>
                  <w:pPr>
                    <w:pStyle w:val="20"/>
                  </w:pPr>
                  <w:r>
                    <w:t>压裂返排液进入</w:t>
                  </w:r>
                  <w:r>
                    <w:rPr>
                      <w:rFonts w:hint="eastAsia"/>
                    </w:rPr>
                    <w:t>乌尔禾稀油处理站污水处理系统处理</w:t>
                  </w:r>
                  <w:r>
                    <w:t>，达到《碎屑岩油藏注水水质推荐指标及分析方法》（SY/T5329-2012）中标准后回注油藏，拉运过程中要求满足《危险废物收集 贮存 运输技术规范》（HJ 2025-2012）。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2" w:hRule="atLeast"/>
                <w:jc w:val="center"/>
              </w:trPr>
              <w:tc>
                <w:tcPr>
                  <w:tcW w:w="881" w:type="dxa"/>
                  <w:vAlign w:val="center"/>
                </w:tcPr>
                <w:p>
                  <w:pPr>
                    <w:pStyle w:val="20"/>
                  </w:pPr>
                  <w:r>
                    <w:t>4</w:t>
                  </w:r>
                </w:p>
              </w:tc>
              <w:tc>
                <w:tcPr>
                  <w:tcW w:w="1172" w:type="dxa"/>
                  <w:vAlign w:val="center"/>
                </w:tcPr>
                <w:p>
                  <w:pPr>
                    <w:pStyle w:val="20"/>
                  </w:pPr>
                  <w:r>
                    <w:t>落地油</w:t>
                  </w:r>
                </w:p>
              </w:tc>
              <w:tc>
                <w:tcPr>
                  <w:tcW w:w="667" w:type="dxa"/>
                  <w:vAlign w:val="center"/>
                </w:tcPr>
                <w:p>
                  <w:pPr>
                    <w:pStyle w:val="20"/>
                  </w:pPr>
                  <w:r>
                    <w:t>井下作业</w:t>
                  </w:r>
                </w:p>
              </w:tc>
              <w:tc>
                <w:tcPr>
                  <w:tcW w:w="1587" w:type="dxa"/>
                  <w:vAlign w:val="center"/>
                </w:tcPr>
                <w:p>
                  <w:pPr>
                    <w:pStyle w:val="20"/>
                  </w:pPr>
                  <w:r>
                    <w:t>危险废物（HW08 071-001-08）</w:t>
                  </w:r>
                </w:p>
              </w:tc>
              <w:tc>
                <w:tcPr>
                  <w:tcW w:w="1079" w:type="dxa"/>
                  <w:vAlign w:val="center"/>
                </w:tcPr>
                <w:p>
                  <w:pPr>
                    <w:pStyle w:val="20"/>
                  </w:pPr>
                  <w:r>
                    <w:t>0.</w:t>
                  </w:r>
                  <w:r>
                    <w:rPr>
                      <w:rFonts w:hint="eastAsia"/>
                    </w:rPr>
                    <w:t>84</w:t>
                  </w:r>
                  <w:r>
                    <w:t>t</w:t>
                  </w:r>
                </w:p>
              </w:tc>
              <w:tc>
                <w:tcPr>
                  <w:tcW w:w="2759" w:type="dxa"/>
                  <w:vAlign w:val="center"/>
                </w:tcPr>
                <w:p>
                  <w:pPr>
                    <w:pStyle w:val="20"/>
                  </w:pPr>
                  <w:r>
                    <w:t>集中收集，委托有危险废物处理资质的单位负责转运、接收和无害化处理。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81" w:type="dxa"/>
                  <w:vAlign w:val="center"/>
                </w:tcPr>
                <w:p>
                  <w:pPr>
                    <w:pStyle w:val="20"/>
                  </w:pPr>
                  <w:r>
                    <w:rPr>
                      <w:rFonts w:hint="eastAsia"/>
                    </w:rPr>
                    <w:t>5</w:t>
                  </w:r>
                </w:p>
              </w:tc>
              <w:tc>
                <w:tcPr>
                  <w:tcW w:w="1172" w:type="dxa"/>
                  <w:vAlign w:val="center"/>
                </w:tcPr>
                <w:p>
                  <w:pPr>
                    <w:pStyle w:val="20"/>
                  </w:pPr>
                  <w:r>
                    <w:t>生活垃圾</w:t>
                  </w:r>
                </w:p>
              </w:tc>
              <w:tc>
                <w:tcPr>
                  <w:tcW w:w="667" w:type="dxa"/>
                  <w:vAlign w:val="center"/>
                </w:tcPr>
                <w:p>
                  <w:pPr>
                    <w:pStyle w:val="20"/>
                  </w:pPr>
                  <w:r>
                    <w:rPr>
                      <w:rFonts w:hint="eastAsia"/>
                    </w:rPr>
                    <w:t>生活营地</w:t>
                  </w:r>
                </w:p>
              </w:tc>
              <w:tc>
                <w:tcPr>
                  <w:tcW w:w="1587" w:type="dxa"/>
                  <w:vAlign w:val="center"/>
                </w:tcPr>
                <w:p>
                  <w:pPr>
                    <w:pStyle w:val="20"/>
                  </w:pPr>
                  <w:r>
                    <w:t>生活垃圾</w:t>
                  </w:r>
                </w:p>
              </w:tc>
              <w:tc>
                <w:tcPr>
                  <w:tcW w:w="1079" w:type="dxa"/>
                  <w:vAlign w:val="center"/>
                </w:tcPr>
                <w:p>
                  <w:pPr>
                    <w:pStyle w:val="20"/>
                  </w:pPr>
                  <w:r>
                    <w:rPr>
                      <w:rFonts w:hint="eastAsia"/>
                    </w:rPr>
                    <w:t>1.58</w:t>
                  </w:r>
                  <w:r>
                    <w:t>t</w:t>
                  </w:r>
                </w:p>
              </w:tc>
              <w:tc>
                <w:tcPr>
                  <w:tcW w:w="2759" w:type="dxa"/>
                  <w:vAlign w:val="center"/>
                </w:tcPr>
                <w:p>
                  <w:pPr>
                    <w:pStyle w:val="20"/>
                  </w:pPr>
                  <w:r>
                    <w:t>集中收集，统一拉运至</w:t>
                  </w:r>
                  <w:r>
                    <w:rPr>
                      <w:rFonts w:hint="eastAsia"/>
                      <w:bCs/>
                    </w:rPr>
                    <w:t>乌尔禾区生活垃圾填埋场</w:t>
                  </w:r>
                  <w: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81" w:type="dxa"/>
                  <w:vAlign w:val="center"/>
                </w:tcPr>
                <w:p>
                  <w:pPr>
                    <w:pStyle w:val="20"/>
                  </w:pPr>
                  <w:bookmarkStart w:id="43" w:name="_Toc17619"/>
                  <w:r>
                    <w:rPr>
                      <w:rFonts w:hint="eastAsia"/>
                    </w:rPr>
                    <w:t>6</w:t>
                  </w:r>
                </w:p>
              </w:tc>
              <w:tc>
                <w:tcPr>
                  <w:tcW w:w="1172" w:type="dxa"/>
                  <w:vAlign w:val="center"/>
                </w:tcPr>
                <w:p>
                  <w:pPr>
                    <w:pStyle w:val="24"/>
                    <w:ind w:left="0" w:firstLine="0"/>
                    <w:rPr>
                      <w:rFonts w:ascii="Times New Roman" w:hAnsi="Times New Roman"/>
                    </w:rPr>
                  </w:pPr>
                  <w:r>
                    <w:rPr>
                      <w:rFonts w:ascii="Times New Roman" w:hAnsi="Times New Roman"/>
                    </w:rPr>
                    <w:t>机械设备废油</w:t>
                  </w:r>
                </w:p>
              </w:tc>
              <w:tc>
                <w:tcPr>
                  <w:tcW w:w="667" w:type="dxa"/>
                  <w:vAlign w:val="center"/>
                </w:tcPr>
                <w:p>
                  <w:pPr>
                    <w:pStyle w:val="24"/>
                    <w:ind w:left="0" w:firstLine="0"/>
                    <w:rPr>
                      <w:rFonts w:ascii="Times New Roman" w:hAnsi="Times New Roman"/>
                    </w:rPr>
                  </w:pPr>
                  <w:r>
                    <w:rPr>
                      <w:rFonts w:ascii="Times New Roman" w:hAnsi="Times New Roman"/>
                    </w:rPr>
                    <w:t>钻井</w:t>
                  </w:r>
                </w:p>
              </w:tc>
              <w:tc>
                <w:tcPr>
                  <w:tcW w:w="1587" w:type="dxa"/>
                  <w:vAlign w:val="center"/>
                </w:tcPr>
                <w:p>
                  <w:pPr>
                    <w:pStyle w:val="10"/>
                    <w:ind w:left="0" w:firstLine="0"/>
                    <w:jc w:val="center"/>
                  </w:pPr>
                  <w:r>
                    <w:t>危险废物（HW08</w:t>
                  </w:r>
                </w:p>
                <w:p>
                  <w:pPr>
                    <w:pStyle w:val="10"/>
                    <w:ind w:left="0" w:firstLine="0"/>
                    <w:jc w:val="center"/>
                  </w:pPr>
                  <w:r>
                    <w:t>900-214-08）</w:t>
                  </w:r>
                </w:p>
              </w:tc>
              <w:tc>
                <w:tcPr>
                  <w:tcW w:w="1079" w:type="dxa"/>
                  <w:vAlign w:val="center"/>
                </w:tcPr>
                <w:p>
                  <w:pPr>
                    <w:pStyle w:val="10"/>
                    <w:ind w:left="0" w:firstLine="0"/>
                    <w:jc w:val="center"/>
                  </w:pPr>
                  <w:r>
                    <w:rPr>
                      <w:rFonts w:hint="eastAsia"/>
                    </w:rPr>
                    <w:t>1.5</w:t>
                  </w:r>
                  <w:r>
                    <w:t>t</w:t>
                  </w:r>
                </w:p>
              </w:tc>
              <w:tc>
                <w:tcPr>
                  <w:tcW w:w="2759" w:type="dxa"/>
                  <w:vAlign w:val="center"/>
                </w:tcPr>
                <w:p>
                  <w:pPr>
                    <w:pStyle w:val="24"/>
                    <w:ind w:left="0" w:firstLine="0"/>
                    <w:rPr>
                      <w:rFonts w:ascii="Times New Roman" w:hAnsi="Times New Roman"/>
                    </w:rPr>
                  </w:pPr>
                  <w:r>
                    <w:rPr>
                      <w:rFonts w:ascii="Times New Roman" w:hAnsi="Times New Roman"/>
                    </w:rPr>
                    <w:t>由钻井单位用专用罐集中收集后委托有危废处置资质的单位处置。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81" w:type="dxa"/>
                  <w:vAlign w:val="center"/>
                </w:tcPr>
                <w:p>
                  <w:pPr>
                    <w:pStyle w:val="20"/>
                  </w:pPr>
                  <w:r>
                    <w:rPr>
                      <w:rFonts w:hint="eastAsia"/>
                    </w:rPr>
                    <w:t>7</w:t>
                  </w:r>
                </w:p>
              </w:tc>
              <w:tc>
                <w:tcPr>
                  <w:tcW w:w="1172" w:type="dxa"/>
                  <w:vAlign w:val="center"/>
                </w:tcPr>
                <w:p>
                  <w:pPr>
                    <w:pStyle w:val="24"/>
                    <w:ind w:left="0" w:firstLine="0"/>
                    <w:rPr>
                      <w:rFonts w:ascii="Times New Roman" w:hAnsi="Times New Roman"/>
                    </w:rPr>
                  </w:pPr>
                  <w:r>
                    <w:rPr>
                      <w:rFonts w:ascii="Times New Roman" w:hAnsi="Times New Roman"/>
                    </w:rPr>
                    <w:t>废弃防渗膜</w:t>
                  </w:r>
                </w:p>
              </w:tc>
              <w:tc>
                <w:tcPr>
                  <w:tcW w:w="667" w:type="dxa"/>
                  <w:vAlign w:val="center"/>
                </w:tcPr>
                <w:p>
                  <w:pPr>
                    <w:pStyle w:val="24"/>
                    <w:ind w:left="0" w:firstLine="0"/>
                    <w:rPr>
                      <w:rFonts w:ascii="Times New Roman" w:hAnsi="Times New Roman"/>
                    </w:rPr>
                  </w:pPr>
                  <w:r>
                    <w:rPr>
                      <w:rFonts w:ascii="Times New Roman" w:hAnsi="Times New Roman"/>
                    </w:rPr>
                    <w:t>钻井</w:t>
                  </w:r>
                </w:p>
              </w:tc>
              <w:tc>
                <w:tcPr>
                  <w:tcW w:w="1587" w:type="dxa"/>
                  <w:vAlign w:val="center"/>
                </w:tcPr>
                <w:p>
                  <w:pPr>
                    <w:pStyle w:val="24"/>
                    <w:ind w:left="0" w:firstLine="0"/>
                    <w:rPr>
                      <w:rFonts w:ascii="Times New Roman" w:hAnsi="Times New Roman"/>
                    </w:rPr>
                  </w:pPr>
                  <w:r>
                    <w:rPr>
                      <w:rFonts w:ascii="Times New Roman" w:hAnsi="Times New Roman"/>
                    </w:rPr>
                    <w:t>危险废物（HW08</w:t>
                  </w:r>
                </w:p>
                <w:p>
                  <w:pPr>
                    <w:pStyle w:val="10"/>
                    <w:ind w:left="0" w:firstLine="0"/>
                    <w:jc w:val="center"/>
                  </w:pPr>
                  <w:r>
                    <w:t>900-249-08）</w:t>
                  </w:r>
                </w:p>
              </w:tc>
              <w:tc>
                <w:tcPr>
                  <w:tcW w:w="1079" w:type="dxa"/>
                  <w:vAlign w:val="center"/>
                </w:tcPr>
                <w:p>
                  <w:pPr>
                    <w:pStyle w:val="10"/>
                    <w:ind w:left="0" w:firstLine="0"/>
                    <w:jc w:val="center"/>
                  </w:pPr>
                  <w:r>
                    <w:t>少量</w:t>
                  </w:r>
                </w:p>
              </w:tc>
              <w:tc>
                <w:tcPr>
                  <w:tcW w:w="2759" w:type="dxa"/>
                  <w:vAlign w:val="center"/>
                </w:tcPr>
                <w:p>
                  <w:pPr>
                    <w:pStyle w:val="24"/>
                    <w:ind w:left="0" w:firstLine="0"/>
                    <w:rPr>
                      <w:rFonts w:ascii="Times New Roman" w:hAnsi="Times New Roman"/>
                    </w:rPr>
                  </w:pPr>
                  <w:r>
                    <w:rPr>
                      <w:rFonts w:ascii="Times New Roman" w:hAnsi="Times New Roman"/>
                    </w:rPr>
                    <w:t>委托有资质的单位处置。</w:t>
                  </w:r>
                </w:p>
              </w:tc>
            </w:tr>
          </w:tbl>
          <w:p>
            <w:pPr>
              <w:pStyle w:val="18"/>
            </w:pPr>
            <w:r>
              <w:t>5 生态环境的影响分析</w:t>
            </w:r>
            <w:bookmarkEnd w:id="43"/>
          </w:p>
          <w:p>
            <w:pPr>
              <w:pStyle w:val="19"/>
            </w:pPr>
            <w:r>
              <w:t>5.1</w:t>
            </w:r>
            <w:r>
              <w:rPr>
                <w:rFonts w:hint="eastAsia"/>
              </w:rPr>
              <w:t xml:space="preserve"> </w:t>
            </w:r>
            <w:r>
              <w:t>生态环境影响因素及类型</w:t>
            </w:r>
          </w:p>
          <w:p>
            <w:pPr>
              <w:ind w:firstLine="480"/>
            </w:pPr>
            <w:r>
              <w:t>本项目井场、道路及施工营地施工过程中不可避免地会对周围生态环境造成不同程度的污染和破坏。</w:t>
            </w:r>
          </w:p>
          <w:p>
            <w:pPr>
              <w:ind w:firstLine="480"/>
            </w:pPr>
            <w:r>
              <w:t>（1）生态环境影响类型</w:t>
            </w:r>
          </w:p>
          <w:p>
            <w:pPr>
              <w:ind w:firstLine="480"/>
            </w:pPr>
            <w:r>
              <w:t>井场、道路、施工营地施工占地范围内土壤翻出、植被清除，会对原有生态环境造成一定影响，改变原有生态系统结构和功能，属暂时性影响。施工完成后，临时性占地和影响将消除，生态环境自然恢复。评价井封井前井场、临时道路将会在原来连续分布的生态环境中形成生态斑点，长久影响生态环境的类型和结构。</w:t>
            </w:r>
          </w:p>
          <w:p>
            <w:pPr>
              <w:ind w:firstLine="480"/>
            </w:pPr>
            <w:r>
              <w:t>（2）生态环境影响因素</w:t>
            </w:r>
          </w:p>
          <w:p>
            <w:pPr>
              <w:ind w:firstLine="480"/>
            </w:pPr>
            <w:r>
              <w:t>环境影响因素识别实际上是对主体的识别，包括主要工程和辅助工程。对于本项目来讲，主要从钻井工程、道路工程分析环境影响因素。</w:t>
            </w:r>
          </w:p>
          <w:p>
            <w:pPr>
              <w:ind w:firstLine="480"/>
            </w:pPr>
            <w:r>
              <w:t>本项目新钻评价井</w:t>
            </w:r>
            <w:r>
              <w:rPr>
                <w:rFonts w:hint="eastAsia"/>
              </w:rPr>
              <w:t>3</w:t>
            </w:r>
            <w:r>
              <w:t>口，仅对项目区进行平整作业，不涉及挖方作业。井场和临时道路的平整会产生土方的扰动；钻井过程中废物的排放、钻井机械的运输等施工活动均可对地表原生结构造成破坏，对生态环境带来不利影响。在井场选址过程中，应尽量选择动土作业量小的地段，场地平整所产生的土方随地势进行处置，尽可能填入低洼地带；钻井岩屑和钻井泥浆采用不落地收集系统处理；井场材料整齐堆放，严格管理，不得随地洒落，完井后全部回收外运；临时道路工程建设选线时避开植被覆盖度高的区域；施工机械划定运行线路，不得随意开行便道，以减少对地表原生结构的破坏。各种措施的采用，可有效减轻钻井过程对生态环境的影响。</w:t>
            </w:r>
          </w:p>
          <w:p>
            <w:pPr>
              <w:ind w:firstLine="480"/>
            </w:pPr>
            <w:r>
              <w:t>生态环境影响因素见表4-12。</w:t>
            </w:r>
          </w:p>
          <w:p>
            <w:pPr>
              <w:pStyle w:val="2"/>
              <w:spacing w:line="360" w:lineRule="auto"/>
            </w:pPr>
            <w:r>
              <w:t>表4-12  生态环境影响因素</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4"/>
              <w:gridCol w:w="6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17"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工程活动</w:t>
                  </w:r>
                </w:p>
              </w:tc>
              <w:tc>
                <w:tcPr>
                  <w:tcW w:w="6839"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主要影响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2017" w:type="dxa"/>
                  <w:tcBorders>
                    <w:top w:val="single" w:color="auto" w:sz="4" w:space="0"/>
                    <w:left w:val="single" w:color="auto" w:sz="4" w:space="0"/>
                    <w:bottom w:val="single" w:color="auto" w:sz="4" w:space="0"/>
                    <w:right w:val="single" w:color="auto" w:sz="4" w:space="0"/>
                  </w:tcBorders>
                  <w:vAlign w:val="center"/>
                </w:tcPr>
                <w:p>
                  <w:pPr>
                    <w:pStyle w:val="20"/>
                  </w:pPr>
                  <w:r>
                    <w:t>钻井工程</w:t>
                  </w:r>
                </w:p>
              </w:tc>
              <w:tc>
                <w:tcPr>
                  <w:tcW w:w="6839" w:type="dxa"/>
                  <w:tcBorders>
                    <w:top w:val="single" w:color="auto" w:sz="4" w:space="0"/>
                    <w:left w:val="single" w:color="auto" w:sz="4" w:space="0"/>
                    <w:bottom w:val="single" w:color="auto" w:sz="4" w:space="0"/>
                    <w:right w:val="single" w:color="auto" w:sz="4" w:space="0"/>
                  </w:tcBorders>
                  <w:vAlign w:val="center"/>
                </w:tcPr>
                <w:p>
                  <w:pPr>
                    <w:pStyle w:val="20"/>
                  </w:pPr>
                  <w:r>
                    <w:t>（1）对井场及周围植被的破坏影响。</w:t>
                  </w:r>
                </w:p>
                <w:p>
                  <w:pPr>
                    <w:pStyle w:val="20"/>
                  </w:pPr>
                  <w:r>
                    <w:t>（2）对井场土壤产生的不利影响。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2017" w:type="dxa"/>
                  <w:tcBorders>
                    <w:top w:val="single" w:color="auto" w:sz="4" w:space="0"/>
                    <w:left w:val="single" w:color="auto" w:sz="4" w:space="0"/>
                    <w:bottom w:val="single" w:color="auto" w:sz="4" w:space="0"/>
                    <w:right w:val="single" w:color="auto" w:sz="4" w:space="0"/>
                  </w:tcBorders>
                  <w:vAlign w:val="center"/>
                </w:tcPr>
                <w:p>
                  <w:pPr>
                    <w:pStyle w:val="20"/>
                  </w:pPr>
                  <w:r>
                    <w:t>施工营地修建</w:t>
                  </w:r>
                </w:p>
              </w:tc>
              <w:tc>
                <w:tcPr>
                  <w:tcW w:w="6839" w:type="dxa"/>
                  <w:tcBorders>
                    <w:top w:val="single" w:color="auto" w:sz="4" w:space="0"/>
                    <w:left w:val="single" w:color="auto" w:sz="4" w:space="0"/>
                    <w:bottom w:val="single" w:color="auto" w:sz="4" w:space="0"/>
                    <w:right w:val="single" w:color="auto" w:sz="4" w:space="0"/>
                  </w:tcBorders>
                  <w:vAlign w:val="center"/>
                </w:tcPr>
                <w:p>
                  <w:pPr>
                    <w:pStyle w:val="20"/>
                  </w:pPr>
                  <w:r>
                    <w:t>（3）对施工营地及周围植被的破坏影响。</w:t>
                  </w:r>
                </w:p>
                <w:p>
                  <w:pPr>
                    <w:pStyle w:val="20"/>
                  </w:pPr>
                  <w:r>
                    <w:t>（4）对施工营地土壤产生的不利影响。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2017" w:type="dxa"/>
                  <w:tcBorders>
                    <w:top w:val="single" w:color="auto" w:sz="4" w:space="0"/>
                    <w:left w:val="single" w:color="auto" w:sz="4" w:space="0"/>
                    <w:bottom w:val="single" w:color="auto" w:sz="4" w:space="0"/>
                    <w:right w:val="single" w:color="auto" w:sz="4" w:space="0"/>
                  </w:tcBorders>
                  <w:vAlign w:val="center"/>
                </w:tcPr>
                <w:p>
                  <w:pPr>
                    <w:pStyle w:val="20"/>
                  </w:pPr>
                  <w:r>
                    <w:t>井场道路修建</w:t>
                  </w:r>
                </w:p>
              </w:tc>
              <w:tc>
                <w:tcPr>
                  <w:tcW w:w="6839" w:type="dxa"/>
                  <w:tcBorders>
                    <w:top w:val="single" w:color="auto" w:sz="4" w:space="0"/>
                    <w:left w:val="single" w:color="auto" w:sz="4" w:space="0"/>
                    <w:bottom w:val="single" w:color="auto" w:sz="4" w:space="0"/>
                    <w:right w:val="single" w:color="auto" w:sz="4" w:space="0"/>
                  </w:tcBorders>
                  <w:vAlign w:val="center"/>
                </w:tcPr>
                <w:p>
                  <w:pPr>
                    <w:pStyle w:val="20"/>
                  </w:pPr>
                  <w:r>
                    <w:t>（5）施工过程对道路两侧植被和土壤产生不利影响。</w:t>
                  </w:r>
                </w:p>
              </w:tc>
            </w:tr>
          </w:tbl>
          <w:p>
            <w:pPr>
              <w:pStyle w:val="19"/>
            </w:pPr>
            <w:r>
              <w:t>5.2</w:t>
            </w:r>
            <w:r>
              <w:rPr>
                <w:rFonts w:hint="eastAsia"/>
              </w:rPr>
              <w:t xml:space="preserve"> </w:t>
            </w:r>
            <w:r>
              <w:t>对植被的影响分析</w:t>
            </w:r>
          </w:p>
          <w:p>
            <w:pPr>
              <w:ind w:firstLine="480"/>
            </w:pPr>
            <w:r>
              <w:rPr>
                <w:rFonts w:hint="eastAsia"/>
              </w:rPr>
              <w:t>各施工阶段的人类活动是造成植被破坏的主要原因，对植被主要影响形式是对土地的占用以及施工阶段清场过程中对地表植被的清理及施工过程中的辗压。井场施工过程中有部分地表土地被各种施工设备或砾石覆盖，工程结束后土地重新回到原来的自然状态，但地表植被及地表结构却发生了较大的变化。地表保护层被破坏后，其稳定性下降，防止水土流失的能力也随之下降。</w:t>
            </w:r>
          </w:p>
          <w:p>
            <w:pPr>
              <w:ind w:firstLine="480"/>
            </w:pPr>
            <w:r>
              <w:rPr>
                <w:rFonts w:hint="eastAsia"/>
              </w:rPr>
              <w:t>施工过程中大量人员、机械进入，使荒漠生态环境中人类活动频率大幅度增加，对植被的影响主要表现在人类和机械对植物的踩踏、碾压和砍伐，使植物生境发生较大变化。</w:t>
            </w:r>
          </w:p>
          <w:p>
            <w:pPr>
              <w:ind w:firstLine="0" w:firstLineChars="0"/>
              <w:rPr>
                <w:b/>
                <w:bCs/>
              </w:rPr>
            </w:pPr>
            <w:r>
              <w:rPr>
                <w:rFonts w:hint="eastAsia"/>
                <w:b/>
                <w:bCs/>
              </w:rPr>
              <w:t>5.3 对草地影响分析</w:t>
            </w:r>
          </w:p>
          <w:p>
            <w:pPr>
              <w:ind w:firstLine="480"/>
            </w:pPr>
            <w:r>
              <w:rPr>
                <w:rFonts w:hint="eastAsia"/>
              </w:rPr>
              <w:t>井区在施工过程中总占地面积为25595</w:t>
            </w:r>
            <w:r>
              <w:t>m</w:t>
            </w:r>
            <w:r>
              <w:rPr>
                <w:vertAlign w:val="superscript"/>
              </w:rPr>
              <w:t>2</w:t>
            </w:r>
            <w:r>
              <w:rPr>
                <w:rFonts w:hint="eastAsia"/>
              </w:rPr>
              <w:t>，在完井后的</w:t>
            </w:r>
            <w:r>
              <w:t>2</w:t>
            </w:r>
            <w:r>
              <w:rPr>
                <w:rFonts w:hint="eastAsia"/>
              </w:rPr>
              <w:t>～</w:t>
            </w:r>
            <w:r>
              <w:t>3</w:t>
            </w:r>
            <w:r>
              <w:rPr>
                <w:rFonts w:hint="eastAsia"/>
              </w:rPr>
              <w:t>年中，将影响占地范围之内的植被初级生产力。占地类型为其他草地，其生物损失量按照</w:t>
            </w:r>
            <w:r>
              <w:t>1.2t/(hm</w:t>
            </w:r>
            <w:r>
              <w:rPr>
                <w:vertAlign w:val="superscript"/>
              </w:rPr>
              <w:t>2</w:t>
            </w:r>
            <w:r>
              <w:t>·a)</w:t>
            </w:r>
            <w:r>
              <w:rPr>
                <w:rFonts w:hint="eastAsia"/>
              </w:rPr>
              <w:t>计算，生物损失量约为3.07</w:t>
            </w:r>
            <w:r>
              <w:t>t/a</w:t>
            </w:r>
            <w:r>
              <w:rPr>
                <w:rFonts w:hint="eastAsia"/>
              </w:rPr>
              <w:t>。施工结束后，钻井设施及施工人员撤出，临时占地内的植被依靠自然恢复。钻试结束后对临时占地进行平整，进行生态自然恢复，当临时性占地的植被得到初步恢复后，这种损失将逐渐减少。</w:t>
            </w:r>
          </w:p>
          <w:p>
            <w:pPr>
              <w:pStyle w:val="19"/>
            </w:pPr>
            <w:r>
              <w:t>5.</w:t>
            </w:r>
            <w:r>
              <w:rPr>
                <w:rFonts w:hint="eastAsia"/>
              </w:rPr>
              <w:t>4</w:t>
            </w:r>
            <w:r>
              <w:t>对野生动物影响分析</w:t>
            </w:r>
          </w:p>
          <w:p>
            <w:pPr>
              <w:ind w:firstLine="480"/>
            </w:pPr>
            <w:r>
              <w:t>本项目施工对野生动物的生存环境、分布范围和种群数量的影响主要分为直接影响和间接影响两个方面。</w:t>
            </w:r>
            <w:r>
              <w:rPr>
                <w:rFonts w:hint="eastAsia"/>
              </w:rPr>
              <w:t>直接影响主要表现为建设项目的占地，使野生动物的原始生存环境被破坏或改变；间接影响主要表现为由于植被的减少或污染破坏而引起野生动物食物来源的减少。</w:t>
            </w:r>
          </w:p>
          <w:p>
            <w:pPr>
              <w:pStyle w:val="11"/>
              <w:spacing w:before="0"/>
              <w:ind w:left="0" w:firstLine="480"/>
              <w:rPr>
                <w:i w:val="0"/>
                <w:iCs w:val="0"/>
                <w:sz w:val="24"/>
                <w:szCs w:val="36"/>
              </w:rPr>
            </w:pPr>
            <w:r>
              <w:rPr>
                <w:rFonts w:hint="eastAsia"/>
                <w:i w:val="0"/>
                <w:iCs w:val="0"/>
                <w:sz w:val="24"/>
                <w:szCs w:val="36"/>
              </w:rPr>
              <w:t>该区域内动物多为新疆广布种，以啮齿类、爬行类动物为主，由于工程占地面积较小，工期较短，钻试结束后，随着高噪声设备的撤离和临时占地植被的恢复，且人类活动也大大减少，野生动物将逐步回归原有生境。</w:t>
            </w:r>
          </w:p>
          <w:p>
            <w:pPr>
              <w:pStyle w:val="19"/>
            </w:pPr>
            <w:r>
              <w:t>5.4</w:t>
            </w:r>
            <w:r>
              <w:rPr>
                <w:rFonts w:hint="eastAsia"/>
              </w:rPr>
              <w:t xml:space="preserve"> </w:t>
            </w:r>
            <w:r>
              <w:t>对土壤的影响分析</w:t>
            </w:r>
          </w:p>
          <w:p>
            <w:pPr>
              <w:ind w:firstLine="480"/>
            </w:pPr>
            <w:r>
              <w:t>（1）工程占地影响分析</w:t>
            </w:r>
          </w:p>
          <w:p>
            <w:pPr>
              <w:ind w:firstLine="480"/>
            </w:pPr>
            <w:r>
              <w:t>本项目占用的土壤类型为</w:t>
            </w:r>
            <w:r>
              <w:rPr>
                <w:rFonts w:hint="eastAsia"/>
              </w:rPr>
              <w:t>灰棕漠</w:t>
            </w:r>
            <w:r>
              <w:t>土，占地主要为井场、施工营地及临时道路，施工期扰动总面积达</w:t>
            </w:r>
            <w:r>
              <w:rPr>
                <w:rFonts w:hint="eastAsia"/>
              </w:rPr>
              <w:t>25595</w:t>
            </w:r>
            <w:r>
              <w:t>m</w:t>
            </w:r>
            <w:r>
              <w:rPr>
                <w:vertAlign w:val="superscript"/>
              </w:rPr>
              <w:t>2</w:t>
            </w:r>
            <w:r>
              <w:t>，均为临时占地。最主要的危害是破坏了地表结构，增加了土壤风蚀量和沙漠化的可能性。</w:t>
            </w:r>
          </w:p>
          <w:p>
            <w:pPr>
              <w:ind w:firstLine="480"/>
            </w:pPr>
            <w:r>
              <w:t>在进行井场施工时，将对作业范围内的土壤表层进行干扰和破坏，土壤表层结构（包括紧实度）、肥力将受到影响，土壤易受到侵蚀。</w:t>
            </w:r>
          </w:p>
          <w:p>
            <w:pPr>
              <w:ind w:firstLine="480"/>
            </w:pPr>
            <w:r>
              <w:t>当施工结束后，人为活动的范围缩小，将使受到破坏的地表逐渐得到恢复，风蚀和荒漠化影响将随着天然植被的恢复逐渐得到控制。</w:t>
            </w:r>
          </w:p>
          <w:p>
            <w:pPr>
              <w:ind w:firstLine="480"/>
            </w:pPr>
            <w:r>
              <w:t xml:space="preserve">（2）固体废物对土壤环境的影响 </w:t>
            </w:r>
          </w:p>
          <w:p>
            <w:pPr>
              <w:ind w:firstLine="480"/>
            </w:pPr>
            <w:r>
              <w:t>在钻井过程中会产生钻井泥浆和岩屑，本项目采用泥浆不落地技术进行处理，实现固液分离，分离出的岩屑</w:t>
            </w:r>
            <w:r>
              <w:rPr>
                <w:rFonts w:hint="eastAsia"/>
              </w:rPr>
              <w:t>收集于</w:t>
            </w:r>
            <w:r>
              <w:t>岩屑储罐，交由岩屑处置单位拉走处置。这些固体废物若残留于土壤中，难以分解，被埋入土壤中会长期残留，影响土壤和植物生长。故本项目井下作业铺垫防渗膜，最大限值防止固废落入土壤中，以减少对土壤的污染。</w:t>
            </w:r>
          </w:p>
          <w:p>
            <w:pPr>
              <w:ind w:firstLine="480"/>
            </w:pPr>
            <w:r>
              <w:t>（3）事故状态下对土壤环境的影响</w:t>
            </w:r>
          </w:p>
          <w:p>
            <w:pPr>
              <w:ind w:firstLine="480"/>
            </w:pPr>
            <w:r>
              <w:t>井喷是油田开发过程中的意外事故，钻井和井下作业中均可能发生井喷。一次井喷可抛洒大量的天然气和原油，其中的轻组分挥发，而重组分油对土壤有一定的影响。井喷会造成大量原油覆盖在土壤表层，使土壤表层的土壤透气性下降，理化性状发生变化，对影响范围内的土壤表层造成严重的污染。</w:t>
            </w:r>
          </w:p>
          <w:p>
            <w:pPr>
              <w:ind w:firstLine="480"/>
            </w:pPr>
            <w:r>
              <w:t>根据已有的相关资料，井喷事故主要影响事故区域内的表层土壤。若发生井喷事故，污染土壤应及时收集，并委托有危废处置资质单位处理。采取以上措施后，井喷对土壤的影响较小。</w:t>
            </w:r>
          </w:p>
          <w:p>
            <w:pPr>
              <w:pStyle w:val="11"/>
              <w:spacing w:before="0"/>
              <w:ind w:left="0" w:firstLine="0" w:firstLineChars="0"/>
              <w:rPr>
                <w:rFonts w:ascii="Times New Roman" w:hAnsi="Times New Roman" w:cs="Times New Roman"/>
                <w:b/>
                <w:bCs/>
                <w:i w:val="0"/>
                <w:iCs w:val="0"/>
                <w:sz w:val="24"/>
              </w:rPr>
            </w:pPr>
            <w:r>
              <w:rPr>
                <w:rFonts w:hint="eastAsia" w:ascii="Times New Roman" w:hAnsi="Times New Roman" w:cs="Times New Roman"/>
                <w:b/>
                <w:bCs/>
                <w:i w:val="0"/>
                <w:iCs w:val="0"/>
                <w:sz w:val="24"/>
              </w:rPr>
              <w:t>5.5 沙化和水土流失影响分析</w:t>
            </w:r>
          </w:p>
          <w:p>
            <w:pPr>
              <w:ind w:firstLine="480"/>
            </w:pPr>
            <w:r>
              <w:t>项目区钻井工程实施中，会使施工带范围内的土体结构遭到破坏，其范围内的植被也会受到严重破坏甚至被彻底清除，导致风沙作用加剧，主要表现为：</w:t>
            </w:r>
          </w:p>
          <w:p>
            <w:pPr>
              <w:ind w:firstLine="480"/>
            </w:pPr>
            <w:r>
              <w:t>（1）土壤粗粒化</w:t>
            </w:r>
          </w:p>
          <w:p>
            <w:pPr>
              <w:ind w:firstLine="480"/>
            </w:pPr>
            <w:r>
              <w:t>在土壤沙化过程中，当风力作用地表产生风蚀时，便产生风选作用，细粒物质被带走，粗粒物质大部分原地保留下来，从而使土壤颗粒变粗，将未沙化的原始土壤和“就地起沙”形成的风沙土颗粒粒级加以比较，沙化后的风沙土较之原始土壤粗砂和细砂粒显著增加，而粉砂和粘粒粒级减少。</w:t>
            </w:r>
          </w:p>
          <w:p>
            <w:pPr>
              <w:ind w:firstLine="480"/>
            </w:pPr>
            <w:r>
              <w:t>（2）土壤贫瘠及含盐量变化</w:t>
            </w:r>
          </w:p>
          <w:p>
            <w:pPr>
              <w:ind w:firstLine="480"/>
            </w:pPr>
            <w:r>
              <w:t>沙化引起土壤贫瘠化的原因，一是积累土壤有机质的表层被风吹蚀；二是在风沙化发展过程中，土壤干旱并在高温影响下，有机物质矿化加强，使原来积累的有机物大量分解；三是土壤粗粒化结果。从未沙化原始土壤与沙化地段土壤肥力对比看，土壤有机质和全氮含量随沙漠化增加有所降低，特别是土壤有机质随沙化强度的变化十分明显。磷素和钾素随沙化程度增加，含量无明显差异。土壤中的易溶性盐分是随土壤水分发生移动的，并随着土壤水分蒸发而在地表聚积。由于沙土毛管上升高度低，因此，通过毛管上升水流到达地表而产生的积盐很微弱，另外在土壤受到风蚀沙化时，表土层的盐分有的被吹蚀，有的和含盐轻的底土层发生混合，因而也降低了风沙土壤的盐分含量，据邻近油田的调查结果表明，随沙化增强，盐分含量降低。</w:t>
            </w:r>
          </w:p>
          <w:p>
            <w:pPr>
              <w:pStyle w:val="21"/>
            </w:pPr>
            <w:r>
              <w:rPr>
                <w:rFonts w:hint="eastAsia" w:ascii="Times New Roman" w:hAnsi="Times New Roman"/>
              </w:rPr>
              <w:t>井场施工过程中有部分地表土地被各种构筑物或砾石覆盖，工程结束后土地逐渐恢复到相对自然的状态，但地表植被及地表结构却发生了较大的变化。地表保护层被破坏后，其稳定性下降，防止水土流失的能力也随之下降。</w:t>
            </w:r>
          </w:p>
          <w:p>
            <w:pPr>
              <w:pStyle w:val="11"/>
              <w:spacing w:before="0"/>
              <w:ind w:left="0" w:firstLine="480"/>
              <w:rPr>
                <w:rFonts w:ascii="Times New Roman" w:hAnsi="Times New Roman" w:cs="Times New Roman"/>
                <w:i w:val="0"/>
                <w:iCs w:val="0"/>
                <w:sz w:val="24"/>
              </w:rPr>
            </w:pPr>
            <w:r>
              <w:rPr>
                <w:rFonts w:hint="eastAsia" w:ascii="Times New Roman" w:hAnsi="Times New Roman" w:cs="Times New Roman"/>
                <w:i w:val="0"/>
                <w:iCs w:val="0"/>
                <w:sz w:val="24"/>
              </w:rPr>
              <w:t>评价区域内干旱多风，地表砾幕的生态保护作用很大。这种砾幕的形成是由于长期的风蚀作用，地表原有的细砂及细粉砂物质被吹蚀，在地表形成了带有砾石的保护层，它稳定地保护着地下的细土物质，对区域由于风蚀引起的水土流失起着很好的抑制作用。</w:t>
            </w:r>
          </w:p>
          <w:p>
            <w:pPr>
              <w:pStyle w:val="11"/>
              <w:spacing w:before="0"/>
              <w:ind w:left="0" w:firstLine="480"/>
              <w:rPr>
                <w:rFonts w:ascii="Times New Roman" w:hAnsi="Times New Roman" w:cs="Times New Roman"/>
                <w:i w:val="0"/>
                <w:iCs w:val="0"/>
                <w:sz w:val="24"/>
              </w:rPr>
            </w:pPr>
            <w:r>
              <w:rPr>
                <w:rFonts w:hint="eastAsia" w:ascii="Times New Roman" w:hAnsi="Times New Roman" w:cs="Times New Roman"/>
                <w:i w:val="0"/>
                <w:iCs w:val="0"/>
                <w:sz w:val="24"/>
              </w:rPr>
              <w:t>拟建工程占地类型为其他草地，区域地表植被分布较少，施工过程噪声土壤地表扰动，易造成水土流失，该项目区土壤侵蚀强度以风蚀为主，生态环境质量较差，应加强水土保持综合治理工作，减小因拟建工程的建设而产生的水土流失。</w:t>
            </w:r>
          </w:p>
          <w:p>
            <w:pPr>
              <w:pStyle w:val="18"/>
            </w:pPr>
            <w:bookmarkStart w:id="44" w:name="_Toc29189"/>
            <w:r>
              <w:rPr>
                <w:rFonts w:hint="eastAsia"/>
              </w:rPr>
              <w:t>6</w:t>
            </w:r>
            <w:r>
              <w:t xml:space="preserve"> 环境</w:t>
            </w:r>
            <w:bookmarkEnd w:id="44"/>
            <w:r>
              <w:rPr>
                <w:rFonts w:hint="eastAsia"/>
              </w:rPr>
              <w:t>风险</w:t>
            </w:r>
            <w:r>
              <w:t>分析</w:t>
            </w:r>
          </w:p>
          <w:p>
            <w:pPr>
              <w:ind w:firstLine="480"/>
            </w:pPr>
            <w:r>
              <w:t>环境风险评价应以突发性事故导致的危险物质环境急性损害防控为目标，对建设项目的环境风险进行分析、预测和评估，提出环境风险预防、控制、减缓措施，明确环境风险监控及应急建议要求，为建设项目环境风险防控提供科学依据。</w:t>
            </w:r>
          </w:p>
          <w:p>
            <w:pPr>
              <w:pStyle w:val="19"/>
            </w:pPr>
            <w:r>
              <w:rPr>
                <w:rFonts w:hint="eastAsia"/>
              </w:rPr>
              <w:t>6</w:t>
            </w:r>
            <w:r>
              <w:t>.1</w:t>
            </w:r>
            <w:r>
              <w:rPr>
                <w:rFonts w:hint="eastAsia"/>
              </w:rPr>
              <w:t xml:space="preserve"> </w:t>
            </w:r>
            <w:r>
              <w:t>风险识别</w:t>
            </w:r>
          </w:p>
          <w:p>
            <w:pPr>
              <w:autoSpaceDE w:val="0"/>
              <w:autoSpaceDN w:val="0"/>
              <w:ind w:firstLine="480"/>
              <w:rPr>
                <w:kern w:val="0"/>
              </w:rPr>
            </w:pPr>
            <w:r>
              <w:rPr>
                <w:kern w:val="0"/>
              </w:rPr>
              <w:t>对照《建设项目环境风险评价技术导则》（HJ169-2018）附录C.1.1中，本项目钻井过程中涉及的危险物质</w:t>
            </w:r>
            <w:r>
              <w:rPr>
                <w:rFonts w:hint="eastAsia"/>
                <w:kern w:val="0"/>
              </w:rPr>
              <w:t>钻井期</w:t>
            </w:r>
            <w:r>
              <w:rPr>
                <w:kern w:val="0"/>
              </w:rPr>
              <w:t>主要为柴油，试油期主要是</w:t>
            </w:r>
            <w:r>
              <w:rPr>
                <w:rFonts w:hint="eastAsia"/>
                <w:kern w:val="0"/>
              </w:rPr>
              <w:t>采出液，</w:t>
            </w:r>
            <w:r>
              <w:rPr>
                <w:rFonts w:hint="eastAsia"/>
              </w:rPr>
              <w:t>本工程采出液为油、气、水混合物，主要成分为原油、天然气和水。</w:t>
            </w:r>
            <w:r>
              <w:rPr>
                <w:kern w:val="0"/>
              </w:rPr>
              <w:t>钻井井场设有柴油罐（20m</w:t>
            </w:r>
            <w:r>
              <w:rPr>
                <w:kern w:val="0"/>
                <w:vertAlign w:val="superscript"/>
              </w:rPr>
              <w:t>3</w:t>
            </w:r>
            <w:r>
              <w:rPr>
                <w:kern w:val="0"/>
              </w:rPr>
              <w:t>），预计柴油16.7t，</w:t>
            </w:r>
            <w:r>
              <w:rPr>
                <w:rFonts w:hint="eastAsia"/>
                <w:kern w:val="0"/>
              </w:rPr>
              <w:t>试油期因采出液的含水率不稳定，本项目按最大存在量进行核算，</w:t>
            </w:r>
            <w:r>
              <w:rPr>
                <w:kern w:val="0"/>
              </w:rPr>
              <w:t>试油</w:t>
            </w:r>
            <w:r>
              <w:rPr>
                <w:rFonts w:hint="eastAsia"/>
                <w:kern w:val="0"/>
              </w:rPr>
              <w:t>井场</w:t>
            </w:r>
            <w:r>
              <w:rPr>
                <w:kern w:val="0"/>
              </w:rPr>
              <w:t>设置60m</w:t>
            </w:r>
            <w:r>
              <w:rPr>
                <w:kern w:val="0"/>
                <w:vertAlign w:val="superscript"/>
              </w:rPr>
              <w:t>3</w:t>
            </w:r>
            <w:r>
              <w:rPr>
                <w:kern w:val="0"/>
              </w:rPr>
              <w:t>的临时储罐，原油存在量约49.8t。</w:t>
            </w:r>
          </w:p>
          <w:p>
            <w:pPr>
              <w:autoSpaceDE w:val="0"/>
              <w:autoSpaceDN w:val="0"/>
              <w:ind w:firstLine="480"/>
            </w:pPr>
            <w:r>
              <w:rPr>
                <w:rFonts w:hint="eastAsia"/>
              </w:rPr>
              <w:t>本工程涉及的环境风险物质主要为原油、天然气和柴油。其主要物化、毒理性质、危险等级划分见下表</w:t>
            </w:r>
            <w:r>
              <w:rPr>
                <w:kern w:val="0"/>
              </w:rPr>
              <w:t>4-</w:t>
            </w:r>
            <w:r>
              <w:rPr>
                <w:rFonts w:hint="eastAsia"/>
                <w:kern w:val="0"/>
              </w:rPr>
              <w:t>13</w:t>
            </w:r>
            <w:r>
              <w:rPr>
                <w:rFonts w:hint="eastAsia"/>
              </w:rPr>
              <w:t>。</w:t>
            </w:r>
          </w:p>
          <w:p>
            <w:pPr>
              <w:pStyle w:val="2"/>
              <w:spacing w:line="360" w:lineRule="auto"/>
            </w:pPr>
            <w:r>
              <w:t>表4-13  原油、天然气和柴油的理化性质及危险级别分类情况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124"/>
              <w:gridCol w:w="2981"/>
              <w:gridCol w:w="2018"/>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04"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物质名称</w:t>
                  </w:r>
                </w:p>
              </w:tc>
              <w:tc>
                <w:tcPr>
                  <w:tcW w:w="690"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组分</w:t>
                  </w:r>
                </w:p>
              </w:tc>
              <w:tc>
                <w:tcPr>
                  <w:tcW w:w="1831"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毒性</w:t>
                  </w:r>
                </w:p>
              </w:tc>
              <w:tc>
                <w:tcPr>
                  <w:tcW w:w="1240"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燃烧爆炸特性</w:t>
                  </w:r>
                </w:p>
              </w:tc>
              <w:tc>
                <w:tcPr>
                  <w:tcW w:w="833" w:type="pct"/>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危险级别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04" w:type="pct"/>
                  <w:tcBorders>
                    <w:top w:val="single" w:color="auto" w:sz="4" w:space="0"/>
                    <w:left w:val="single" w:color="auto" w:sz="4" w:space="0"/>
                    <w:bottom w:val="single" w:color="auto" w:sz="4" w:space="0"/>
                    <w:right w:val="single" w:color="auto" w:sz="4" w:space="0"/>
                  </w:tcBorders>
                  <w:vAlign w:val="center"/>
                </w:tcPr>
                <w:p>
                  <w:pPr>
                    <w:pStyle w:val="20"/>
                  </w:pPr>
                  <w:r>
                    <w:t>原油</w:t>
                  </w:r>
                </w:p>
              </w:tc>
              <w:tc>
                <w:tcPr>
                  <w:tcW w:w="690" w:type="pct"/>
                  <w:tcBorders>
                    <w:top w:val="single" w:color="auto" w:sz="4" w:space="0"/>
                    <w:left w:val="single" w:color="auto" w:sz="4" w:space="0"/>
                    <w:right w:val="single" w:color="auto" w:sz="4" w:space="0"/>
                  </w:tcBorders>
                  <w:vAlign w:val="center"/>
                </w:tcPr>
                <w:p>
                  <w:pPr>
                    <w:pStyle w:val="20"/>
                  </w:pPr>
                  <w:r>
                    <w:t>有各种烃类和非烃类化合物所组成的复杂混合物</w:t>
                  </w:r>
                </w:p>
              </w:tc>
              <w:tc>
                <w:tcPr>
                  <w:tcW w:w="1831" w:type="pct"/>
                  <w:tcBorders>
                    <w:top w:val="single" w:color="auto" w:sz="4" w:space="0"/>
                    <w:left w:val="single" w:color="auto" w:sz="4" w:space="0"/>
                    <w:bottom w:val="single" w:color="auto" w:sz="4" w:space="0"/>
                    <w:right w:val="single" w:color="auto" w:sz="4" w:space="0"/>
                  </w:tcBorders>
                  <w:vAlign w:val="center"/>
                </w:tcPr>
                <w:p>
                  <w:pPr>
                    <w:pStyle w:val="20"/>
                  </w:pPr>
                  <w:r>
                    <w:t>原油本身无明显毒性。遇热分解出有毒的烟雾，吸入大量可引起危害：有刺激和麻痹作用，吸入急性中毒者有上呼吸道刺激症状。流泪，随之出现头晕、头痛、恶心、运动失调及酒醉样症状</w:t>
                  </w:r>
                </w:p>
              </w:tc>
              <w:tc>
                <w:tcPr>
                  <w:tcW w:w="1240" w:type="pct"/>
                  <w:tcBorders>
                    <w:top w:val="single" w:color="auto" w:sz="4" w:space="0"/>
                    <w:left w:val="single" w:color="auto" w:sz="4" w:space="0"/>
                    <w:bottom w:val="single" w:color="auto" w:sz="4" w:space="0"/>
                    <w:right w:val="single" w:color="auto" w:sz="4" w:space="0"/>
                  </w:tcBorders>
                  <w:vAlign w:val="center"/>
                </w:tcPr>
                <w:p>
                  <w:pPr>
                    <w:pStyle w:val="20"/>
                  </w:pPr>
                  <w:r>
                    <w:t>热值：41870KJ/kg</w:t>
                  </w:r>
                </w:p>
                <w:p>
                  <w:pPr>
                    <w:pStyle w:val="20"/>
                  </w:pPr>
                  <w:r>
                    <w:t>火焰温度：1100℃</w:t>
                  </w:r>
                </w:p>
                <w:p>
                  <w:pPr>
                    <w:pStyle w:val="20"/>
                  </w:pPr>
                  <w:r>
                    <w:t>沸点：300～325℃</w:t>
                  </w:r>
                </w:p>
                <w:p>
                  <w:pPr>
                    <w:pStyle w:val="20"/>
                  </w:pPr>
                  <w:r>
                    <w:t>闪点：23.5℃</w:t>
                  </w:r>
                </w:p>
                <w:p>
                  <w:pPr>
                    <w:pStyle w:val="20"/>
                  </w:pPr>
                  <w:r>
                    <w:t>爆炸极限1.1～6.4%（v）自然燃点380～530℃</w:t>
                  </w:r>
                </w:p>
              </w:tc>
              <w:tc>
                <w:tcPr>
                  <w:tcW w:w="833" w:type="pct"/>
                  <w:tcBorders>
                    <w:top w:val="single" w:color="auto" w:sz="4" w:space="0"/>
                    <w:left w:val="single" w:color="auto" w:sz="4" w:space="0"/>
                    <w:bottom w:val="single" w:color="auto" w:sz="4" w:space="0"/>
                    <w:right w:val="single" w:color="auto" w:sz="4" w:space="0"/>
                  </w:tcBorders>
                  <w:vAlign w:val="center"/>
                </w:tcPr>
                <w:p>
                  <w:pPr>
                    <w:pStyle w:val="20"/>
                  </w:pPr>
                  <w:r>
                    <w:t>属于高闪点液体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04" w:type="pct"/>
                  <w:tcBorders>
                    <w:top w:val="single" w:color="auto" w:sz="4" w:space="0"/>
                    <w:left w:val="single" w:color="auto" w:sz="4" w:space="0"/>
                    <w:bottom w:val="single" w:color="auto" w:sz="4" w:space="0"/>
                    <w:right w:val="single" w:color="auto" w:sz="4" w:space="0"/>
                  </w:tcBorders>
                  <w:vAlign w:val="center"/>
                </w:tcPr>
                <w:p>
                  <w:pPr>
                    <w:pStyle w:val="20"/>
                  </w:pPr>
                  <w:r>
                    <w:t>天然气</w:t>
                  </w:r>
                </w:p>
              </w:tc>
              <w:tc>
                <w:tcPr>
                  <w:tcW w:w="690" w:type="pct"/>
                  <w:tcBorders>
                    <w:left w:val="single" w:color="auto" w:sz="4" w:space="0"/>
                    <w:bottom w:val="single" w:color="auto" w:sz="4" w:space="0"/>
                    <w:right w:val="single" w:color="auto" w:sz="4" w:space="0"/>
                  </w:tcBorders>
                  <w:vAlign w:val="center"/>
                </w:tcPr>
                <w:p>
                  <w:pPr>
                    <w:pStyle w:val="20"/>
                  </w:pPr>
                  <w:r>
                    <w:t>多种可燃性气体的总称，主要成分包括甲烷、乙烷等</w:t>
                  </w:r>
                </w:p>
              </w:tc>
              <w:tc>
                <w:tcPr>
                  <w:tcW w:w="1831" w:type="pct"/>
                  <w:tcBorders>
                    <w:top w:val="single" w:color="auto" w:sz="4" w:space="0"/>
                    <w:left w:val="single" w:color="auto" w:sz="4" w:space="0"/>
                    <w:bottom w:val="single" w:color="auto" w:sz="4" w:space="0"/>
                    <w:right w:val="single" w:color="auto" w:sz="4" w:space="0"/>
                  </w:tcBorders>
                  <w:vAlign w:val="center"/>
                </w:tcPr>
                <w:p>
                  <w:pPr>
                    <w:pStyle w:val="20"/>
                  </w:pPr>
                  <w:r>
                    <w:t>伴生气中主要包括天然气，天然气中含有的甲烷，是一种无毒气体，当空气中大量弥漫这种气体时它会造成人因氧气不足而呼吸困难，进而失去知觉、昏迷甚至残废。</w:t>
                  </w:r>
                </w:p>
              </w:tc>
              <w:tc>
                <w:tcPr>
                  <w:tcW w:w="1240" w:type="pct"/>
                  <w:tcBorders>
                    <w:top w:val="single" w:color="auto" w:sz="4" w:space="0"/>
                    <w:left w:val="single" w:color="auto" w:sz="4" w:space="0"/>
                    <w:bottom w:val="single" w:color="auto" w:sz="4" w:space="0"/>
                    <w:right w:val="single" w:color="auto" w:sz="4" w:space="0"/>
                  </w:tcBorders>
                  <w:vAlign w:val="center"/>
                </w:tcPr>
                <w:p>
                  <w:pPr>
                    <w:pStyle w:val="20"/>
                  </w:pPr>
                  <w:r>
                    <w:t>热值：50009KJ/kg</w:t>
                  </w:r>
                </w:p>
                <w:p>
                  <w:pPr>
                    <w:pStyle w:val="20"/>
                  </w:pPr>
                  <w:r>
                    <w:t>爆炸极限5～14%（v）</w:t>
                  </w:r>
                </w:p>
                <w:p>
                  <w:pPr>
                    <w:pStyle w:val="20"/>
                  </w:pPr>
                  <w:r>
                    <w:t>自然燃点482～632℃</w:t>
                  </w:r>
                </w:p>
              </w:tc>
              <w:tc>
                <w:tcPr>
                  <w:tcW w:w="833" w:type="pct"/>
                  <w:tcBorders>
                    <w:top w:val="single" w:color="auto" w:sz="4" w:space="0"/>
                    <w:left w:val="single" w:color="auto" w:sz="4" w:space="0"/>
                    <w:bottom w:val="single" w:color="auto" w:sz="4" w:space="0"/>
                    <w:right w:val="single" w:color="auto" w:sz="4" w:space="0"/>
                  </w:tcBorders>
                  <w:vAlign w:val="center"/>
                </w:tcPr>
                <w:p>
                  <w:pPr>
                    <w:pStyle w:val="20"/>
                  </w:pPr>
                  <w:r>
                    <w:t>属于5.1类中易燃气体，在危险货物品名表中编号21007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404" w:type="pct"/>
                  <w:tcBorders>
                    <w:top w:val="single" w:color="auto" w:sz="4" w:space="0"/>
                    <w:left w:val="single" w:color="auto" w:sz="4" w:space="0"/>
                    <w:bottom w:val="single" w:color="auto" w:sz="4" w:space="0"/>
                    <w:right w:val="single" w:color="auto" w:sz="4" w:space="0"/>
                  </w:tcBorders>
                  <w:vAlign w:val="center"/>
                </w:tcPr>
                <w:p>
                  <w:pPr>
                    <w:pStyle w:val="20"/>
                  </w:pPr>
                  <w:r>
                    <w:t>柴油</w:t>
                  </w:r>
                </w:p>
              </w:tc>
              <w:tc>
                <w:tcPr>
                  <w:tcW w:w="690" w:type="pct"/>
                  <w:tcBorders>
                    <w:top w:val="single" w:color="auto" w:sz="4" w:space="0"/>
                    <w:left w:val="single" w:color="auto" w:sz="4" w:space="0"/>
                    <w:bottom w:val="single" w:color="auto" w:sz="4" w:space="0"/>
                    <w:right w:val="single" w:color="auto" w:sz="4" w:space="0"/>
                  </w:tcBorders>
                  <w:vAlign w:val="center"/>
                </w:tcPr>
                <w:p>
                  <w:pPr>
                    <w:pStyle w:val="20"/>
                  </w:pPr>
                  <w:r>
                    <w:t>复杂烃类（碳原子数约10～22）混合物</w:t>
                  </w:r>
                </w:p>
              </w:tc>
              <w:tc>
                <w:tcPr>
                  <w:tcW w:w="1831" w:type="pct"/>
                  <w:tcBorders>
                    <w:top w:val="single" w:color="auto" w:sz="4" w:space="0"/>
                    <w:left w:val="single" w:color="auto" w:sz="4" w:space="0"/>
                    <w:bottom w:val="single" w:color="auto" w:sz="4" w:space="0"/>
                    <w:right w:val="single" w:color="auto" w:sz="4" w:space="0"/>
                  </w:tcBorders>
                  <w:vAlign w:val="center"/>
                </w:tcPr>
                <w:p>
                  <w:pPr>
                    <w:pStyle w:val="20"/>
                  </w:pPr>
                  <w:r>
                    <w:t>柴油的毒性类似于煤油，但由于添加剂(如硫化酯类）的影响，毒性可能比煤油略大。主要有麻醉和刺激作用。柴油的雾滴吸入后可致吸入性肺炎。皮肤接触柴油可致接触性皮炎。多见于两手、腕部与前臂。</w:t>
                  </w:r>
                </w:p>
              </w:tc>
              <w:tc>
                <w:tcPr>
                  <w:tcW w:w="1240" w:type="pct"/>
                  <w:tcBorders>
                    <w:top w:val="single" w:color="auto" w:sz="4" w:space="0"/>
                    <w:left w:val="single" w:color="auto" w:sz="4" w:space="0"/>
                    <w:bottom w:val="single" w:color="auto" w:sz="4" w:space="0"/>
                    <w:right w:val="single" w:color="auto" w:sz="4" w:space="0"/>
                  </w:tcBorders>
                  <w:vAlign w:val="center"/>
                </w:tcPr>
                <w:p>
                  <w:pPr>
                    <w:pStyle w:val="20"/>
                  </w:pPr>
                  <w:r>
                    <w:t>热值为3.3×107J/L</w:t>
                  </w:r>
                </w:p>
                <w:p>
                  <w:pPr>
                    <w:pStyle w:val="20"/>
                  </w:pPr>
                  <w:r>
                    <w:t>沸点范围有180～370℃和350～410℃两类闪点：38℃</w:t>
                  </w:r>
                </w:p>
              </w:tc>
              <w:tc>
                <w:tcPr>
                  <w:tcW w:w="833" w:type="pct"/>
                  <w:tcBorders>
                    <w:top w:val="single" w:color="auto" w:sz="4" w:space="0"/>
                    <w:left w:val="single" w:color="auto" w:sz="4" w:space="0"/>
                    <w:bottom w:val="single" w:color="auto" w:sz="4" w:space="0"/>
                    <w:right w:val="single" w:color="auto" w:sz="4" w:space="0"/>
                  </w:tcBorders>
                  <w:vAlign w:val="center"/>
                </w:tcPr>
                <w:p>
                  <w:pPr>
                    <w:pStyle w:val="20"/>
                  </w:pPr>
                  <w:r>
                    <w:t>属于高闪点液体</w:t>
                  </w:r>
                </w:p>
              </w:tc>
            </w:tr>
          </w:tbl>
          <w:p>
            <w:pPr>
              <w:numPr>
                <w:ilvl w:val="0"/>
                <w:numId w:val="3"/>
              </w:numPr>
              <w:ind w:firstLine="480"/>
            </w:pPr>
            <w:r>
              <w:t>本项目Q值见表4-14。</w:t>
            </w:r>
          </w:p>
          <w:p>
            <w:pPr>
              <w:pStyle w:val="2"/>
              <w:spacing w:line="360" w:lineRule="auto"/>
            </w:pPr>
            <w:r>
              <w:t>表4-14  危险物质与临界量比值</w:t>
            </w:r>
          </w:p>
          <w:tbl>
            <w:tblPr>
              <w:tblStyle w:val="14"/>
              <w:tblW w:w="8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3"/>
              <w:gridCol w:w="1268"/>
              <w:gridCol w:w="1230"/>
              <w:gridCol w:w="168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33"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物质名称</w:t>
                  </w:r>
                </w:p>
              </w:tc>
              <w:tc>
                <w:tcPr>
                  <w:tcW w:w="1268"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临界量</w:t>
                  </w:r>
                </w:p>
              </w:tc>
              <w:tc>
                <w:tcPr>
                  <w:tcW w:w="1230"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CAS号</w:t>
                  </w:r>
                </w:p>
              </w:tc>
              <w:tc>
                <w:tcPr>
                  <w:tcW w:w="1683"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最大存在总量</w:t>
                  </w:r>
                </w:p>
              </w:tc>
              <w:tc>
                <w:tcPr>
                  <w:tcW w:w="1701" w:type="dxa"/>
                  <w:tcBorders>
                    <w:top w:val="single" w:color="auto" w:sz="4" w:space="0"/>
                    <w:left w:val="single" w:color="auto" w:sz="4" w:space="0"/>
                    <w:bottom w:val="single" w:color="auto" w:sz="4" w:space="0"/>
                    <w:right w:val="single" w:color="auto" w:sz="4" w:space="0"/>
                  </w:tcBorders>
                  <w:vAlign w:val="center"/>
                </w:tcPr>
                <w:p>
                  <w:pPr>
                    <w:pStyle w:val="20"/>
                    <w:rPr>
                      <w:b/>
                      <w:bCs/>
                    </w:rPr>
                  </w:pPr>
                  <w:r>
                    <w:rPr>
                      <w:b/>
                      <w:bCs/>
                    </w:rPr>
                    <w:t>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33" w:type="dxa"/>
                  <w:tcBorders>
                    <w:top w:val="single" w:color="auto" w:sz="4" w:space="0"/>
                    <w:left w:val="single" w:color="auto" w:sz="4" w:space="0"/>
                    <w:bottom w:val="single" w:color="auto" w:sz="4" w:space="0"/>
                    <w:right w:val="single" w:color="auto" w:sz="4" w:space="0"/>
                  </w:tcBorders>
                  <w:vAlign w:val="center"/>
                </w:tcPr>
                <w:p>
                  <w:pPr>
                    <w:pStyle w:val="20"/>
                  </w:pPr>
                  <w:r>
                    <w:t>柴油</w:t>
                  </w:r>
                </w:p>
              </w:tc>
              <w:tc>
                <w:tcPr>
                  <w:tcW w:w="1268" w:type="dxa"/>
                  <w:tcBorders>
                    <w:top w:val="single" w:color="auto" w:sz="4" w:space="0"/>
                    <w:left w:val="single" w:color="auto" w:sz="4" w:space="0"/>
                    <w:right w:val="single" w:color="auto" w:sz="4" w:space="0"/>
                  </w:tcBorders>
                  <w:vAlign w:val="center"/>
                </w:tcPr>
                <w:p>
                  <w:pPr>
                    <w:pStyle w:val="20"/>
                  </w:pPr>
                  <w:r>
                    <w:t>2500t</w:t>
                  </w:r>
                </w:p>
              </w:tc>
              <w:tc>
                <w:tcPr>
                  <w:tcW w:w="1230" w:type="dxa"/>
                  <w:tcBorders>
                    <w:top w:val="single" w:color="auto" w:sz="4" w:space="0"/>
                    <w:left w:val="single" w:color="auto" w:sz="4" w:space="0"/>
                    <w:right w:val="single" w:color="auto" w:sz="4" w:space="0"/>
                  </w:tcBorders>
                  <w:vAlign w:val="center"/>
                </w:tcPr>
                <w:p>
                  <w:pPr>
                    <w:pStyle w:val="20"/>
                  </w:pPr>
                  <w:r>
                    <w:t>68334-30-5</w:t>
                  </w:r>
                </w:p>
              </w:tc>
              <w:tc>
                <w:tcPr>
                  <w:tcW w:w="1683" w:type="dxa"/>
                  <w:tcBorders>
                    <w:top w:val="single" w:color="auto" w:sz="4" w:space="0"/>
                    <w:left w:val="single" w:color="auto" w:sz="4" w:space="0"/>
                    <w:bottom w:val="single" w:color="auto" w:sz="4" w:space="0"/>
                    <w:right w:val="single" w:color="auto" w:sz="4" w:space="0"/>
                  </w:tcBorders>
                  <w:vAlign w:val="center"/>
                </w:tcPr>
                <w:p>
                  <w:pPr>
                    <w:pStyle w:val="20"/>
                  </w:pPr>
                  <w:r>
                    <w:t>16.7t</w:t>
                  </w:r>
                </w:p>
              </w:tc>
              <w:tc>
                <w:tcPr>
                  <w:tcW w:w="1701" w:type="dxa"/>
                  <w:tcBorders>
                    <w:top w:val="single" w:color="auto" w:sz="4" w:space="0"/>
                    <w:left w:val="single" w:color="auto" w:sz="4" w:space="0"/>
                    <w:bottom w:val="single" w:color="auto" w:sz="4" w:space="0"/>
                    <w:right w:val="single" w:color="auto" w:sz="4" w:space="0"/>
                  </w:tcBorders>
                  <w:vAlign w:val="center"/>
                </w:tcPr>
                <w:p>
                  <w:pPr>
                    <w:pStyle w:val="20"/>
                  </w:pPr>
                  <w:r>
                    <w:t>0.007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33" w:type="dxa"/>
                  <w:tcBorders>
                    <w:top w:val="single" w:color="auto" w:sz="4" w:space="0"/>
                    <w:left w:val="single" w:color="auto" w:sz="4" w:space="0"/>
                    <w:bottom w:val="single" w:color="auto" w:sz="4" w:space="0"/>
                    <w:right w:val="single" w:color="auto" w:sz="4" w:space="0"/>
                  </w:tcBorders>
                  <w:vAlign w:val="center"/>
                </w:tcPr>
                <w:p>
                  <w:pPr>
                    <w:pStyle w:val="20"/>
                  </w:pPr>
                  <w:r>
                    <w:t>原油</w:t>
                  </w:r>
                </w:p>
              </w:tc>
              <w:tc>
                <w:tcPr>
                  <w:tcW w:w="1268" w:type="dxa"/>
                  <w:tcBorders>
                    <w:left w:val="single" w:color="auto" w:sz="4" w:space="0"/>
                    <w:bottom w:val="single" w:color="auto" w:sz="4" w:space="0"/>
                    <w:right w:val="single" w:color="auto" w:sz="4" w:space="0"/>
                  </w:tcBorders>
                  <w:vAlign w:val="center"/>
                </w:tcPr>
                <w:p>
                  <w:pPr>
                    <w:pStyle w:val="20"/>
                  </w:pPr>
                  <w:r>
                    <w:t>2500t</w:t>
                  </w:r>
                </w:p>
              </w:tc>
              <w:tc>
                <w:tcPr>
                  <w:tcW w:w="1230" w:type="dxa"/>
                  <w:tcBorders>
                    <w:left w:val="single" w:color="auto" w:sz="4" w:space="0"/>
                    <w:bottom w:val="single" w:color="auto" w:sz="4" w:space="0"/>
                    <w:right w:val="single" w:color="auto" w:sz="4" w:space="0"/>
                  </w:tcBorders>
                  <w:vAlign w:val="center"/>
                </w:tcPr>
                <w:p>
                  <w:pPr>
                    <w:pStyle w:val="20"/>
                  </w:pPr>
                  <w:r>
                    <w:t>686-185-4</w:t>
                  </w:r>
                </w:p>
              </w:tc>
              <w:tc>
                <w:tcPr>
                  <w:tcW w:w="1683" w:type="dxa"/>
                  <w:tcBorders>
                    <w:top w:val="single" w:color="auto" w:sz="4" w:space="0"/>
                    <w:left w:val="single" w:color="auto" w:sz="4" w:space="0"/>
                    <w:bottom w:val="single" w:color="auto" w:sz="4" w:space="0"/>
                    <w:right w:val="single" w:color="auto" w:sz="4" w:space="0"/>
                  </w:tcBorders>
                  <w:vAlign w:val="center"/>
                </w:tcPr>
                <w:p>
                  <w:pPr>
                    <w:pStyle w:val="20"/>
                  </w:pPr>
                  <w:r>
                    <w:rPr>
                      <w:rFonts w:hint="eastAsia"/>
                    </w:rPr>
                    <w:t>49.8t</w:t>
                  </w:r>
                </w:p>
              </w:tc>
              <w:tc>
                <w:tcPr>
                  <w:tcW w:w="1701" w:type="dxa"/>
                  <w:tcBorders>
                    <w:top w:val="single" w:color="auto" w:sz="4" w:space="0"/>
                    <w:left w:val="single" w:color="auto" w:sz="4" w:space="0"/>
                    <w:bottom w:val="single" w:color="auto" w:sz="4" w:space="0"/>
                    <w:right w:val="single" w:color="auto" w:sz="4" w:space="0"/>
                  </w:tcBorders>
                  <w:vAlign w:val="center"/>
                </w:tcPr>
                <w:p>
                  <w:pPr>
                    <w:pStyle w:val="20"/>
                  </w:pPr>
                  <w:r>
                    <w:t>0.0</w:t>
                  </w: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33" w:type="dxa"/>
                  <w:tcBorders>
                    <w:top w:val="single" w:color="auto" w:sz="4" w:space="0"/>
                    <w:left w:val="single" w:color="auto" w:sz="4" w:space="0"/>
                    <w:bottom w:val="single" w:color="auto" w:sz="4" w:space="0"/>
                    <w:right w:val="single" w:color="auto" w:sz="4" w:space="0"/>
                  </w:tcBorders>
                  <w:vAlign w:val="center"/>
                </w:tcPr>
                <w:p>
                  <w:pPr>
                    <w:pStyle w:val="20"/>
                  </w:pPr>
                  <w:r>
                    <w:t>甲烷</w:t>
                  </w:r>
                </w:p>
              </w:tc>
              <w:tc>
                <w:tcPr>
                  <w:tcW w:w="1268" w:type="dxa"/>
                  <w:tcBorders>
                    <w:top w:val="single" w:color="auto" w:sz="4" w:space="0"/>
                    <w:left w:val="single" w:color="auto" w:sz="4" w:space="0"/>
                    <w:bottom w:val="single" w:color="auto" w:sz="4" w:space="0"/>
                    <w:right w:val="single" w:color="auto" w:sz="4" w:space="0"/>
                  </w:tcBorders>
                  <w:vAlign w:val="center"/>
                </w:tcPr>
                <w:p>
                  <w:pPr>
                    <w:pStyle w:val="20"/>
                  </w:pPr>
                  <w:r>
                    <w:t>10t</w:t>
                  </w:r>
                </w:p>
              </w:tc>
              <w:tc>
                <w:tcPr>
                  <w:tcW w:w="1230" w:type="dxa"/>
                  <w:tcBorders>
                    <w:top w:val="single" w:color="auto" w:sz="4" w:space="0"/>
                    <w:left w:val="single" w:color="auto" w:sz="4" w:space="0"/>
                    <w:bottom w:val="single" w:color="auto" w:sz="4" w:space="0"/>
                    <w:right w:val="single" w:color="auto" w:sz="4" w:space="0"/>
                  </w:tcBorders>
                  <w:vAlign w:val="center"/>
                </w:tcPr>
                <w:p>
                  <w:pPr>
                    <w:pStyle w:val="20"/>
                  </w:pPr>
                  <w:r>
                    <w:t>74-82-8</w:t>
                  </w:r>
                </w:p>
              </w:tc>
              <w:tc>
                <w:tcPr>
                  <w:tcW w:w="1683" w:type="dxa"/>
                  <w:tcBorders>
                    <w:top w:val="single" w:color="auto" w:sz="4" w:space="0"/>
                    <w:left w:val="single" w:color="auto" w:sz="4" w:space="0"/>
                    <w:bottom w:val="single" w:color="auto" w:sz="4" w:space="0"/>
                    <w:right w:val="single" w:color="auto" w:sz="4" w:space="0"/>
                  </w:tcBorders>
                  <w:vAlign w:val="center"/>
                </w:tcPr>
                <w:p>
                  <w:pPr>
                    <w:pStyle w:val="20"/>
                  </w:pPr>
                  <w:r>
                    <w:t>0</w:t>
                  </w:r>
                </w:p>
              </w:tc>
              <w:tc>
                <w:tcPr>
                  <w:tcW w:w="1701" w:type="dxa"/>
                  <w:tcBorders>
                    <w:top w:val="single" w:color="auto" w:sz="4" w:space="0"/>
                    <w:left w:val="single" w:color="auto" w:sz="4" w:space="0"/>
                    <w:bottom w:val="single" w:color="auto" w:sz="4" w:space="0"/>
                    <w:right w:val="single" w:color="auto" w:sz="4" w:space="0"/>
                  </w:tcBorders>
                  <w:vAlign w:val="center"/>
                </w:tcPr>
                <w:p>
                  <w:pPr>
                    <w:pStyle w:val="20"/>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233" w:type="dxa"/>
                  <w:tcBorders>
                    <w:top w:val="single" w:color="auto" w:sz="4" w:space="0"/>
                    <w:left w:val="single" w:color="auto" w:sz="4" w:space="0"/>
                    <w:bottom w:val="single" w:color="auto" w:sz="4" w:space="0"/>
                    <w:right w:val="single" w:color="auto" w:sz="4" w:space="0"/>
                  </w:tcBorders>
                  <w:vAlign w:val="center"/>
                </w:tcPr>
                <w:p>
                  <w:pPr>
                    <w:pStyle w:val="20"/>
                  </w:pPr>
                  <w:r>
                    <w:t>合计</w:t>
                  </w:r>
                </w:p>
              </w:tc>
              <w:tc>
                <w:tcPr>
                  <w:tcW w:w="1268" w:type="dxa"/>
                  <w:tcBorders>
                    <w:top w:val="single" w:color="auto" w:sz="4" w:space="0"/>
                    <w:left w:val="single" w:color="auto" w:sz="4" w:space="0"/>
                    <w:bottom w:val="single" w:color="auto" w:sz="4" w:space="0"/>
                    <w:right w:val="single" w:color="auto" w:sz="4" w:space="0"/>
                  </w:tcBorders>
                  <w:vAlign w:val="center"/>
                </w:tcPr>
                <w:p>
                  <w:pPr>
                    <w:pStyle w:val="20"/>
                  </w:pPr>
                  <w:r>
                    <w:t>/</w:t>
                  </w:r>
                </w:p>
              </w:tc>
              <w:tc>
                <w:tcPr>
                  <w:tcW w:w="1230" w:type="dxa"/>
                  <w:tcBorders>
                    <w:top w:val="single" w:color="auto" w:sz="4" w:space="0"/>
                    <w:left w:val="single" w:color="auto" w:sz="4" w:space="0"/>
                    <w:bottom w:val="single" w:color="auto" w:sz="4" w:space="0"/>
                    <w:right w:val="single" w:color="auto" w:sz="4" w:space="0"/>
                  </w:tcBorders>
                  <w:vAlign w:val="center"/>
                </w:tcPr>
                <w:p>
                  <w:pPr>
                    <w:pStyle w:val="20"/>
                  </w:pPr>
                  <w:r>
                    <w:rPr>
                      <w:rFonts w:hint="eastAsia"/>
                    </w:rPr>
                    <w:t>/</w:t>
                  </w:r>
                </w:p>
              </w:tc>
              <w:tc>
                <w:tcPr>
                  <w:tcW w:w="1683" w:type="dxa"/>
                  <w:tcBorders>
                    <w:top w:val="single" w:color="auto" w:sz="4" w:space="0"/>
                    <w:left w:val="single" w:color="auto" w:sz="4" w:space="0"/>
                    <w:bottom w:val="single" w:color="auto" w:sz="4" w:space="0"/>
                    <w:right w:val="single" w:color="auto" w:sz="4" w:space="0"/>
                  </w:tcBorders>
                  <w:vAlign w:val="center"/>
                </w:tcPr>
                <w:p>
                  <w:pPr>
                    <w:pStyle w:val="20"/>
                  </w:pPr>
                  <w:r>
                    <w:t>/</w:t>
                  </w:r>
                </w:p>
              </w:tc>
              <w:tc>
                <w:tcPr>
                  <w:tcW w:w="1701" w:type="dxa"/>
                  <w:tcBorders>
                    <w:top w:val="single" w:color="auto" w:sz="4" w:space="0"/>
                    <w:left w:val="single" w:color="auto" w:sz="4" w:space="0"/>
                    <w:bottom w:val="single" w:color="auto" w:sz="4" w:space="0"/>
                    <w:right w:val="single" w:color="auto" w:sz="4" w:space="0"/>
                  </w:tcBorders>
                  <w:vAlign w:val="center"/>
                </w:tcPr>
                <w:p>
                  <w:pPr>
                    <w:pStyle w:val="20"/>
                  </w:pPr>
                  <w:r>
                    <w:t>0.0</w:t>
                  </w:r>
                  <w:r>
                    <w:rPr>
                      <w:rFonts w:hint="eastAsia"/>
                    </w:rPr>
                    <w:t>2</w:t>
                  </w:r>
                  <w:r>
                    <w:t>7</w:t>
                  </w:r>
                </w:p>
              </w:tc>
            </w:tr>
          </w:tbl>
          <w:p>
            <w:pPr>
              <w:pStyle w:val="20"/>
              <w:spacing w:line="360" w:lineRule="auto"/>
              <w:jc w:val="left"/>
              <w:rPr>
                <w:b/>
                <w:bCs/>
              </w:rPr>
            </w:pPr>
            <w:r>
              <w:rPr>
                <w:b/>
                <w:bCs/>
              </w:rPr>
              <w:t>临界量：对照《建设项目环境风险评价技术导则》（HJ169-2018）附录B.1中第381号。</w:t>
            </w:r>
          </w:p>
          <w:p>
            <w:pPr>
              <w:numPr>
                <w:ilvl w:val="0"/>
                <w:numId w:val="3"/>
              </w:numPr>
              <w:autoSpaceDE w:val="0"/>
              <w:autoSpaceDN w:val="0"/>
              <w:ind w:firstLine="480"/>
              <w:jc w:val="left"/>
            </w:pPr>
            <w:r>
              <w:rPr>
                <w:kern w:val="0"/>
                <w:szCs w:val="22"/>
              </w:rPr>
              <w:t>本项目风险物质</w:t>
            </w:r>
            <w:r>
              <w:rPr>
                <w:kern w:val="0"/>
              </w:rPr>
              <w:t>与其临界量的比值（Q）&lt;1时，可确定该项目环境风险潜势为</w:t>
            </w:r>
            <w:r>
              <w:rPr>
                <w:bCs/>
                <w:kern w:val="0"/>
              </w:rPr>
              <w:fldChar w:fldCharType="begin"/>
            </w:r>
            <w:r>
              <w:rPr>
                <w:bCs/>
                <w:kern w:val="0"/>
              </w:rPr>
              <w:instrText xml:space="preserve"> = 1 \* ROMAN \* MERGEFORMAT </w:instrText>
            </w:r>
            <w:r>
              <w:rPr>
                <w:bCs/>
                <w:kern w:val="0"/>
              </w:rPr>
              <w:fldChar w:fldCharType="separate"/>
            </w:r>
            <w:r>
              <w:rPr>
                <w:bCs/>
                <w:kern w:val="0"/>
              </w:rPr>
              <w:t>I</w:t>
            </w:r>
            <w:r>
              <w:rPr>
                <w:bCs/>
                <w:kern w:val="0"/>
              </w:rPr>
              <w:fldChar w:fldCharType="end"/>
            </w:r>
            <w:r>
              <w:rPr>
                <w:bCs/>
                <w:kern w:val="0"/>
              </w:rPr>
              <w:t>，可开展简单分析。</w:t>
            </w:r>
          </w:p>
          <w:p>
            <w:pPr>
              <w:pStyle w:val="19"/>
            </w:pPr>
            <w:r>
              <w:rPr>
                <w:rFonts w:hint="eastAsia"/>
              </w:rPr>
              <w:t>6</w:t>
            </w:r>
            <w:r>
              <w:t>.2 风险事故环境影响</w:t>
            </w:r>
          </w:p>
          <w:p>
            <w:pPr>
              <w:ind w:firstLine="480"/>
            </w:pPr>
            <w:bookmarkStart w:id="45" w:name="_Hlk26200603"/>
            <w:r>
              <w:t>钻井过程中井喷等风险事故主要对地下水产生影响，现分述如下：</w:t>
            </w:r>
          </w:p>
          <w:p>
            <w:pPr>
              <w:ind w:firstLine="480"/>
            </w:pPr>
            <w:r>
              <w:t>（1）井喷事故对地下水的影响</w:t>
            </w:r>
          </w:p>
          <w:p>
            <w:pPr>
              <w:pStyle w:val="21"/>
              <w:adjustRightInd/>
              <w:snapToGrid/>
              <w:rPr>
                <w:rFonts w:ascii="Times New Roman" w:hAnsi="Times New Roman"/>
              </w:rPr>
            </w:pPr>
            <w:r>
              <w:rPr>
                <w:rFonts w:ascii="Times New Roman" w:hAnsi="Times New Roman"/>
              </w:rPr>
              <w:t>井喷随油藏地层压力的不同，发生概率和强度有所不同，根据现场调查，本项目油区采用抽油机进行开采，地层压力小，油井自喷能力弱，发生井喷事故概率小。发生井喷时，立即启动井控装置和防止井喷的应急预案，井喷产生的原油排至应急放喷池中，伴生气从管线另一端导入放散管点燃放空。油田采取严格的井控制度和井控措施，井喷溢流的原油和逸散的天然气可以得到很好的控制和处理，对周边环境的影响不大。</w:t>
            </w:r>
          </w:p>
          <w:p>
            <w:pPr>
              <w:pStyle w:val="21"/>
              <w:adjustRightInd/>
              <w:snapToGrid/>
              <w:rPr>
                <w:rFonts w:ascii="Times New Roman" w:hAnsi="Times New Roman"/>
              </w:rPr>
            </w:pPr>
            <w:r>
              <w:rPr>
                <w:rFonts w:ascii="Times New Roman" w:hAnsi="Times New Roman"/>
              </w:rPr>
              <w:t>井喷事故发生时对地下水环境的影响主要是原油以面源的形式渗漏进入包气带土壤并污染地下水。污染物迁移途径为地表以下的包气带和含水层，然后随地下水流动而污染地下水。</w:t>
            </w:r>
            <w:r>
              <w:rPr>
                <w:rFonts w:ascii="Times New Roman" w:hAnsi="Times New Roman"/>
                <w:bCs/>
              </w:rPr>
              <w:t>根据《石油类污染物在土壤中迁移变化规律研究》（中国石油大学桑玉全博士），不同类型土壤，对污染物的吸附能力存在差异，但总体在0~30cm深度范围内，其中对石油类污染物的吸附截留可达90%以上。</w:t>
            </w:r>
            <w:r>
              <w:rPr>
                <w:rFonts w:ascii="Times New Roman" w:hAnsi="Times New Roman"/>
              </w:rPr>
              <w:t>石油类污染物主要聚积在土壤表层1m以内，一般很难渗入到2m以下。同时油田区域气候干旱少雨，不存在大量降水的淋滤作用。因此，井喷事故中的泄漏原油不会进入地下含水层污染地下水，对地下水环境的影响在可接受范围内。</w:t>
            </w:r>
          </w:p>
          <w:p>
            <w:pPr>
              <w:ind w:firstLine="480"/>
            </w:pPr>
            <w:r>
              <w:t>（2）井漏事故的泥浆对地下水的影响</w:t>
            </w:r>
          </w:p>
          <w:p>
            <w:pPr>
              <w:ind w:firstLine="480"/>
            </w:pPr>
            <w:r>
              <w:t>井漏事故对地下水的污染是钻井液漏失于地下水含水层中，由于其含Ca、Na等</w:t>
            </w:r>
            <w:bookmarkEnd w:id="45"/>
            <w:bookmarkStart w:id="46" w:name="_Hlk26200622"/>
            <w:r>
              <w:t>离子，且pH、盐分较多，造成地下含水层水质污染。</w:t>
            </w:r>
          </w:p>
          <w:p>
            <w:pPr>
              <w:ind w:firstLine="480"/>
            </w:pPr>
            <w:r>
              <w:t>钻井液漏失于地下含水层其径流型污染的范围不大，主要发生在局部且持续时间较短。钻井过程中表层套管（隔离含水体套管）固井变径后，继续钻井数百米到达目的层。表层套管内提下钻具和钻井的钻杆自重离心力不稳定，在压力下的钻杆转动对套管产生摩擦、碰撞，均有可能对套管和固井环状水泥柱产生破坏作用，使钻井液在高压循环的过程中，从破坏处进入含水层污染地下水。此外，钻井液从固井环状水泥柱破裂处进入含水层，会对水质的硬度和矿化度的劣变起到了一定的影响。因此，使用清洁无害的水基钻井液，严格控制使用有毒有害钻井液及化学处理剂，同时严格要求套管下入深度、确保固井质量等措施，可以有效控制钻井液在含水层中的漏失，井漏事故对地下水环境的影响在可接受范围内。</w:t>
            </w:r>
          </w:p>
          <w:p>
            <w:pPr>
              <w:ind w:firstLine="480"/>
            </w:pPr>
            <w:r>
              <w:t>（3）油水窜层对地下水的影响</w:t>
            </w:r>
          </w:p>
          <w:p>
            <w:pPr>
              <w:ind w:firstLine="480"/>
            </w:pPr>
            <w:r>
              <w:t>钻井完井后试油过程中原油窜层污染的主要原因是：①下入的表层套管未封住含水层；②固井质量差；③工艺措施不合理或未实施。因此，为预防污染的发生和污染源的形成，表层套管必须严格封闭含水层，固井质量应符合环保要求。</w:t>
            </w:r>
          </w:p>
          <w:p>
            <w:pPr>
              <w:ind w:firstLine="480"/>
            </w:pPr>
            <w:r>
              <w:t>报废井在长期闲置过程中，在地下各种复合作用下，固井水泥被腐蚀，套管被腐蚀穿孔，封堵井口后，油气物质失去了释放通道，会通过越流管道进入含水层，参与地下水循环。虽然此时油层几乎没有多少压力，但原油仍有进入含水层污染地下水的可能，评价区内的井应确保生产井的固井质量，废弃井应全部打水泥塞，并经严格的试压以防窜漏污染地下水。</w:t>
            </w:r>
          </w:p>
          <w:p>
            <w:pPr>
              <w:ind w:firstLine="480"/>
            </w:pPr>
            <w:r>
              <w:t>采取上述措施后，油水窜层对地下水环境的影响在可接受范围内。</w:t>
            </w:r>
          </w:p>
          <w:p>
            <w:pPr>
              <w:ind w:firstLine="480"/>
            </w:pPr>
            <w:r>
              <w:t>（4）柴油储罐火灾爆炸影响</w:t>
            </w:r>
          </w:p>
          <w:p>
            <w:pPr>
              <w:ind w:firstLine="480"/>
            </w:pPr>
            <w:r>
              <w:t>储罐内油气通过人孔法兰盖间隙外溢，与空气形成爆炸性混合物，污染大气环境；若储罐发生泄漏会对土壤、地下水产生影响。</w:t>
            </w:r>
          </w:p>
          <w:p>
            <w:pPr>
              <w:ind w:firstLine="480"/>
            </w:pPr>
            <w:r>
              <w:t>（5）井下作业对土壤的影响</w:t>
            </w:r>
          </w:p>
          <w:p>
            <w:pPr>
              <w:ind w:firstLine="480"/>
            </w:pPr>
            <w:r>
              <w:t>若本项目井下作业时产生洗井废水（含油废水）及油品若不慎滴落在地，含油废水和落地油会对周围土壤产生污染。落地油量越大污染面积越大，对土壤的污染越严重。泄漏物进入土壤环境中，会影响土壤中微生物生存，破坏土壤结构，增加土壤中石油类污染物。</w:t>
            </w:r>
          </w:p>
          <w:p>
            <w:pPr>
              <w:ind w:firstLine="480"/>
            </w:pPr>
            <w:r>
              <w:t>根据类比调查结果：非渗透性的基岩及粘重土壤上污染（扩展）面积较大，而疏松土质上影响扩展范围较小；粘重土壤多为耕作土，原油覆于地表会使土壤透气性下降，降低土壤肥力，影响植被的生长和恢复。在泄漏事故发生的初期，原油在土壤中下渗至一定深度，随泄漏历时的延长，下渗深度增加不大（落地原油一般在土壤内部20cm左右范围内积聚）。</w:t>
            </w:r>
          </w:p>
          <w:p>
            <w:pPr>
              <w:ind w:firstLine="480"/>
            </w:pPr>
            <w:r>
              <w:t>建设单位井下带罐作业，作业区域铺设防渗膜防止洗井废水和原油落地，若不慎落地应及时收集落地油及受污染土壤，交由有危废处置资质的单位处理。</w:t>
            </w:r>
          </w:p>
          <w:p>
            <w:pPr>
              <w:pStyle w:val="11"/>
              <w:spacing w:before="0"/>
              <w:ind w:left="0" w:firstLine="480"/>
              <w:rPr>
                <w:rFonts w:ascii="Times New Roman" w:hAnsi="Times New Roman" w:cs="Times New Roman"/>
                <w:i w:val="0"/>
                <w:iCs w:val="0"/>
                <w:sz w:val="24"/>
              </w:rPr>
            </w:pPr>
            <w:r>
              <w:rPr>
                <w:rFonts w:hint="eastAsia" w:ascii="Times New Roman" w:hAnsi="Times New Roman" w:cs="Times New Roman"/>
                <w:i w:val="0"/>
                <w:iCs w:val="0"/>
                <w:sz w:val="24"/>
              </w:rPr>
              <w:t>（6）储罐泄漏</w:t>
            </w:r>
          </w:p>
          <w:p>
            <w:pPr>
              <w:pStyle w:val="11"/>
              <w:spacing w:before="0"/>
              <w:ind w:left="0" w:firstLine="480"/>
              <w:rPr>
                <w:rFonts w:ascii="Times New Roman" w:hAnsi="Times New Roman" w:cs="Times New Roman"/>
                <w:i w:val="0"/>
                <w:iCs w:val="0"/>
                <w:sz w:val="24"/>
              </w:rPr>
            </w:pPr>
            <w:r>
              <w:rPr>
                <w:rFonts w:hint="eastAsia" w:ascii="Times New Roman" w:hAnsi="Times New Roman" w:cs="Times New Roman"/>
                <w:i w:val="0"/>
                <w:iCs w:val="0"/>
                <w:sz w:val="24"/>
              </w:rPr>
              <w:t>钻井及试油期井场设置柴油储罐，试油期井场设置有试油临时储罐，储罐因质量、操作运行和管理等环节存在缺陷和失误，可能会发生泄漏，对周围地下水、土壤、大气等环境造成污染。</w:t>
            </w:r>
          </w:p>
          <w:p>
            <w:pPr>
              <w:ind w:firstLine="480"/>
            </w:pPr>
            <w:r>
              <w:t>（</w:t>
            </w:r>
            <w:r>
              <w:rPr>
                <w:rFonts w:hint="eastAsia"/>
              </w:rPr>
              <w:t>7</w:t>
            </w:r>
            <w:r>
              <w:t>）运输的风险</w:t>
            </w:r>
          </w:p>
          <w:p>
            <w:pPr>
              <w:ind w:firstLine="480"/>
            </w:pPr>
            <w:r>
              <w:t>石油原油属于易燃易爆危险物质，在运输过程中可能发生泄漏、火灾爆炸等突发事故。要求使用密闭运输罐车，出车前必须对车辆的安全技术状况进行认真检查，杜绝跑、冒、滴、漏，保持罐车完整性；同时选择好运输路线，避让居民点、水渠等环境敏感目标，防止泄露对环境造成不利影响；运输途中控制车速，保持与前车安全距离，严禁违法超车，行车途中要勤于检查。在采取报告中提出的风险防范措施的前提下，运输车辆运输过程风险影响很小。</w:t>
            </w:r>
          </w:p>
          <w:bookmarkEnd w:id="46"/>
          <w:p>
            <w:pPr>
              <w:pStyle w:val="21"/>
              <w:ind w:firstLine="0" w:firstLineChars="0"/>
              <w:rPr>
                <w:rFonts w:ascii="Times New Roman" w:hAnsi="Times New Roman"/>
                <w:b/>
                <w:snapToGrid w:val="0"/>
              </w:rPr>
            </w:pPr>
            <w:r>
              <w:rPr>
                <w:rFonts w:hint="eastAsia" w:ascii="Times New Roman" w:hAnsi="Times New Roman"/>
                <w:b/>
              </w:rPr>
              <w:t>6</w:t>
            </w:r>
            <w:r>
              <w:rPr>
                <w:rFonts w:ascii="Times New Roman" w:hAnsi="Times New Roman"/>
                <w:b/>
              </w:rPr>
              <w:t>.3环境风险评价结论</w:t>
            </w:r>
          </w:p>
          <w:p>
            <w:pPr>
              <w:ind w:firstLine="464"/>
              <w:jc w:val="left"/>
            </w:pPr>
            <w:r>
              <w:rPr>
                <w:bCs/>
                <w:spacing w:val="-4"/>
              </w:rPr>
              <w:t>本项目设计中严格执行各种安全标准、规范，采取完善的安全措施，可有效地防止火灾、爆炸、泄漏、井喷等事故的发生。本项目的环境风险在可接受范围之内。</w:t>
            </w:r>
            <w:bookmarkEnd w:id="33"/>
            <w:bookmarkEnd w:id="40"/>
            <w:bookmarkEnd w:id="41"/>
            <w:bookmarkEnd w:id="4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7" w:hRule="atLeast"/>
          <w:jc w:val="center"/>
        </w:trPr>
        <w:tc>
          <w:tcPr>
            <w:tcW w:w="879" w:type="dxa"/>
            <w:tcMar>
              <w:left w:w="28" w:type="dxa"/>
              <w:right w:w="28" w:type="dxa"/>
            </w:tcMar>
            <w:vAlign w:val="center"/>
          </w:tcPr>
          <w:p>
            <w:pPr>
              <w:ind w:firstLine="0" w:firstLineChars="0"/>
              <w:jc w:val="center"/>
              <w:rPr>
                <w:bCs/>
                <w:sz w:val="21"/>
                <w:szCs w:val="21"/>
              </w:rPr>
            </w:pPr>
            <w:r>
              <w:rPr>
                <w:bCs/>
                <w:spacing w:val="10"/>
              </w:rPr>
              <w:t>运营期生态环境影响分析</w:t>
            </w:r>
          </w:p>
        </w:tc>
        <w:tc>
          <w:tcPr>
            <w:tcW w:w="8363" w:type="dxa"/>
            <w:vAlign w:val="center"/>
          </w:tcPr>
          <w:p>
            <w:pPr>
              <w:ind w:firstLine="480"/>
              <w:jc w:val="left"/>
              <w:rPr>
                <w:bCs/>
                <w:szCs w:val="21"/>
              </w:rPr>
            </w:pPr>
            <w:r>
              <w:t>本项目无营运期，试油结束后视试油结果决定是否转为生产井，若可转为生产井，则应当在产能开发建设前开展其环境影响评价工作。如发现该井不具开发价值或目的层不含油，则进行封井，拆除井口装置，截去地下1m内管头，最后清理场地，清除各种固体废弃物，恢复至相对自然的地貌。封井后，人员撤离，区域内没有了人为的扰动，井场范围内的自然植被会逐渐得以恢复，有助于区域生态环境的改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45" w:hRule="atLeast"/>
          <w:jc w:val="center"/>
        </w:trPr>
        <w:tc>
          <w:tcPr>
            <w:tcW w:w="879" w:type="dxa"/>
            <w:vAlign w:val="center"/>
          </w:tcPr>
          <w:p>
            <w:pPr>
              <w:ind w:firstLine="0" w:firstLineChars="0"/>
              <w:jc w:val="center"/>
              <w:rPr>
                <w:bCs/>
              </w:rPr>
            </w:pPr>
            <w:r>
              <w:rPr>
                <w:bCs/>
              </w:rPr>
              <w:t>选址选线环境合理性分析</w:t>
            </w:r>
          </w:p>
        </w:tc>
        <w:tc>
          <w:tcPr>
            <w:tcW w:w="8363" w:type="dxa"/>
            <w:vAlign w:val="center"/>
          </w:tcPr>
          <w:p>
            <w:pPr>
              <w:pStyle w:val="26"/>
              <w:spacing w:line="360" w:lineRule="auto"/>
              <w:ind w:firstLine="480"/>
              <w:jc w:val="left"/>
              <w:rPr>
                <w:rFonts w:ascii="Times New Roman" w:hAnsi="Times New Roman"/>
              </w:rPr>
            </w:pPr>
            <w:r>
              <w:rPr>
                <w:rFonts w:ascii="Times New Roman" w:hAnsi="Times New Roman"/>
              </w:rPr>
              <w:t>根据《井场布置原则和技术要求》（SY/T5958-94）中5.1井场布置技术要求“一般油、气井口距民房100m以外。”根据《石油天然气钻井井控技术规范》（GB/T31033-2014）中4井控设计要求“油气井井口距高压线及其他永久性设施不小于75m；距居宅不小于100m；距铁路及高速公路不小于200m；距学校、医院、油库、人口密集及高危场所等不小于500m”。本项目不在铁路、高速公路、国道、省等重要交通干线两侧200m范围以内，不在重要工业区、大型水利工程设施、城镇市政工程设施所在区域，军事管理区、机场、国防工程设施圈定的区域；也符合《新疆维吾尔自治区重点行业环境准入条件（修订）》（新环发</w:t>
            </w:r>
            <w:r>
              <w:rPr>
                <w:rFonts w:hint="eastAsia"/>
                <w:bCs/>
              </w:rPr>
              <w:t>〔</w:t>
            </w:r>
            <w:r>
              <w:rPr>
                <w:rFonts w:ascii="Times New Roman" w:hAnsi="Times New Roman"/>
              </w:rPr>
              <w:t>2017</w:t>
            </w:r>
            <w:r>
              <w:rPr>
                <w:rFonts w:hint="eastAsia"/>
                <w:bCs/>
              </w:rPr>
              <w:t>〕</w:t>
            </w:r>
            <w:r>
              <w:rPr>
                <w:rFonts w:ascii="Times New Roman" w:hAnsi="Times New Roman"/>
              </w:rPr>
              <w:t>1号）要求。</w:t>
            </w:r>
          </w:p>
          <w:p>
            <w:pPr>
              <w:pStyle w:val="26"/>
              <w:spacing w:line="360" w:lineRule="auto"/>
              <w:ind w:firstLine="480"/>
              <w:jc w:val="left"/>
              <w:rPr>
                <w:rFonts w:ascii="Times New Roman" w:hAnsi="Times New Roman"/>
              </w:rPr>
            </w:pPr>
            <w:r>
              <w:rPr>
                <w:rFonts w:ascii="Times New Roman" w:hAnsi="Times New Roman"/>
              </w:rPr>
              <w:t>本项目周边500m范围内无自然保护区、风景名胜区、居住区、文化区、人群较集中的区域，周边50m范围内无声环境保护目标，周边500m范围内无地下水集中式饮用水水源和热水、矿泉水、温泉等特殊地下水资源</w:t>
            </w:r>
            <w:r>
              <w:rPr>
                <w:rFonts w:hint="eastAsia" w:ascii="Times New Roman" w:hAnsi="Times New Roman"/>
              </w:rPr>
              <w:t>，</w:t>
            </w:r>
            <w:r>
              <w:rPr>
                <w:rFonts w:ascii="Times New Roman" w:hAnsi="Times New Roman"/>
              </w:rPr>
              <w:t>符合区域经济发展规划、环保规划，无重大环境制约因素。</w:t>
            </w:r>
            <w:r>
              <w:rPr>
                <w:rFonts w:hint="eastAsia"/>
              </w:rPr>
              <w:t>本项目位于准噶尔能源矿产勘查开发区，同时属于</w:t>
            </w:r>
            <w:r>
              <w:t>陆地矿产资源地质勘查（含油气资源勘探）</w:t>
            </w:r>
            <w:r>
              <w:rPr>
                <w:rFonts w:hint="eastAsia"/>
              </w:rPr>
              <w:t>项目，</w:t>
            </w:r>
            <w:r>
              <w:t>符合规划要求</w:t>
            </w:r>
            <w:r>
              <w:rPr>
                <w:rFonts w:hint="eastAsia"/>
              </w:rPr>
              <w:t>。</w:t>
            </w:r>
            <w:r>
              <w:rPr>
                <w:rFonts w:ascii="Times New Roman" w:hAnsi="Times New Roman"/>
              </w:rPr>
              <w:t>本项目占地类型为其他草地，不占用基本农田、草原、公益林等，本项目临时占地的井场区域有梭梭及白梭梭零星分布，其覆盖度约5%。本工程钻井结束后对临时占地进行地貌恢复，工程造成的生物量损失较小。</w:t>
            </w:r>
          </w:p>
          <w:p>
            <w:pPr>
              <w:pStyle w:val="23"/>
              <w:ind w:firstLine="480" w:firstLineChars="200"/>
              <w:rPr>
                <w:b w:val="0"/>
                <w:bCs/>
                <w:sz w:val="24"/>
                <w:szCs w:val="21"/>
              </w:rPr>
            </w:pPr>
            <w:r>
              <w:rPr>
                <w:b w:val="0"/>
                <w:kern w:val="0"/>
                <w:sz w:val="24"/>
              </w:rPr>
              <w:t>综上，本项目选址选线是合理的。</w:t>
            </w:r>
          </w:p>
        </w:tc>
      </w:tr>
    </w:tbl>
    <w:p>
      <w:pPr>
        <w:jc w:val="center"/>
        <w:rPr>
          <w:rFonts w:eastAsia="黑体"/>
          <w:snapToGrid w:val="0"/>
          <w:sz w:val="36"/>
          <w:szCs w:val="36"/>
        </w:rPr>
        <w:sectPr>
          <w:pgSz w:w="11906" w:h="16838"/>
          <w:pgMar w:top="1701" w:right="1531" w:bottom="1701" w:left="1531" w:header="851" w:footer="1077" w:gutter="0"/>
          <w:cols w:space="720" w:num="1"/>
          <w:docGrid w:linePitch="312" w:charSpace="0"/>
        </w:sectPr>
      </w:pPr>
    </w:p>
    <w:p>
      <w:pPr>
        <w:spacing w:line="14" w:lineRule="auto"/>
        <w:ind w:firstLine="600"/>
        <w:jc w:val="center"/>
        <w:rPr>
          <w:rFonts w:eastAsia="黑体"/>
          <w:snapToGrid w:val="0"/>
          <w:sz w:val="30"/>
          <w:szCs w:val="30"/>
        </w:rPr>
      </w:pPr>
    </w:p>
    <w:p>
      <w:pPr>
        <w:ind w:firstLine="600"/>
        <w:jc w:val="center"/>
        <w:outlineLvl w:val="0"/>
        <w:rPr>
          <w:rFonts w:eastAsia="黑体"/>
          <w:snapToGrid w:val="0"/>
          <w:sz w:val="30"/>
          <w:szCs w:val="30"/>
        </w:rPr>
      </w:pPr>
      <w:bookmarkStart w:id="47" w:name="_Toc9793"/>
      <w:r>
        <w:rPr>
          <w:rFonts w:eastAsia="黑体"/>
          <w:snapToGrid w:val="0"/>
          <w:sz w:val="30"/>
          <w:szCs w:val="30"/>
        </w:rPr>
        <w:t>五、主要生态环境保护措施</w:t>
      </w:r>
      <w:bookmarkEnd w:id="47"/>
    </w:p>
    <w:tbl>
      <w:tblPr>
        <w:tblStyle w:val="14"/>
        <w:tblW w:w="92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3"/>
        <w:gridCol w:w="84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3" w:type="dxa"/>
            <w:tcMar>
              <w:left w:w="28" w:type="dxa"/>
              <w:right w:w="28" w:type="dxa"/>
            </w:tcMar>
            <w:vAlign w:val="center"/>
          </w:tcPr>
          <w:p>
            <w:pPr>
              <w:ind w:firstLine="0" w:firstLineChars="0"/>
              <w:jc w:val="center"/>
              <w:rPr>
                <w:bCs/>
                <w:szCs w:val="21"/>
              </w:rPr>
            </w:pPr>
            <w:r>
              <w:rPr>
                <w:bCs/>
                <w:spacing w:val="10"/>
                <w:szCs w:val="21"/>
              </w:rPr>
              <w:t>施工期生态环境保护措施</w:t>
            </w:r>
          </w:p>
        </w:tc>
        <w:tc>
          <w:tcPr>
            <w:tcW w:w="8457" w:type="dxa"/>
          </w:tcPr>
          <w:p>
            <w:pPr>
              <w:pStyle w:val="18"/>
            </w:pPr>
            <w:bookmarkStart w:id="48" w:name="_Toc17733"/>
            <w:bookmarkStart w:id="49" w:name="_Hlk26201142"/>
            <w:r>
              <w:t>1 大气污染防治措施</w:t>
            </w:r>
            <w:bookmarkEnd w:id="48"/>
          </w:p>
          <w:p>
            <w:pPr>
              <w:ind w:firstLine="480"/>
            </w:pPr>
            <w:r>
              <w:t>（1）应合理规划、选择最短的工区道路运输路线，尽量利用油田现有公路网络；其次是对使用频繁的道路路面进行洒水处理；运输车辆进入施工区域，应以中、低速行驶（速度＜40km/h）。</w:t>
            </w:r>
          </w:p>
          <w:p>
            <w:pPr>
              <w:ind w:firstLine="480"/>
            </w:pPr>
            <w:r>
              <w:t>（2）井场设备的放置进行合理优化，尽可能少占土地，对工作区域外的场地严禁车辆和人员进入、占用，避免破坏植被和造成土地松动；作业场地保持一定湿度，进出车辆严格限速，装卸器材文明作业。</w:t>
            </w:r>
          </w:p>
          <w:p>
            <w:pPr>
              <w:ind w:firstLine="480"/>
            </w:pPr>
            <w:r>
              <w:t>（3）定期对钻机、柴油发电机等设备进行维护</w:t>
            </w:r>
            <w:r>
              <w:rPr>
                <w:rFonts w:hint="eastAsia"/>
              </w:rPr>
              <w:t>，定期对柴油发电机进行污染物排放检测，确保其污染物排放达到《非道路移动机械用柴油机排气污染物排放限值及测量方法(中国第三、四阶段)》(GB20891-2014)中的标准要求</w:t>
            </w:r>
            <w:r>
              <w:t>。</w:t>
            </w:r>
          </w:p>
          <w:p>
            <w:pPr>
              <w:ind w:firstLine="480"/>
            </w:pPr>
            <w:r>
              <w:t>（4）禁止焚烧原油、废油品及各类废弃物。</w:t>
            </w:r>
          </w:p>
          <w:p>
            <w:pPr>
              <w:ind w:firstLine="480"/>
            </w:pPr>
            <w:r>
              <w:t>（5）钻井材料集中堆放，下垫上盖。</w:t>
            </w:r>
          </w:p>
          <w:p>
            <w:pPr>
              <w:ind w:firstLine="480"/>
            </w:pPr>
            <w:r>
              <w:t>（6）试油期对各井场的设备、阀门等进行定期的检查、检修，以减少跑、冒、滴、漏的发生，消除事故隐患，防止油气泄漏进入大气环境。一旦发生泄漏事故，紧急切断油、气源，从而最大限度地减少烃类及油的排放量。试油期产生的伴生气进行燃烧处理。</w:t>
            </w:r>
          </w:p>
          <w:p>
            <w:pPr>
              <w:pStyle w:val="23"/>
              <w:ind w:firstLine="480" w:firstLineChars="200"/>
              <w:rPr>
                <w:b w:val="0"/>
                <w:sz w:val="24"/>
              </w:rPr>
            </w:pPr>
            <w:r>
              <w:rPr>
                <w:rFonts w:hint="eastAsia"/>
                <w:b w:val="0"/>
                <w:sz w:val="24"/>
              </w:rPr>
              <w:t>（7）</w:t>
            </w:r>
            <w:r>
              <w:rPr>
                <w:b w:val="0"/>
                <w:sz w:val="24"/>
              </w:rPr>
              <w:t>试油期需严格控制挥发性有机气体的储存、装卸损失，采出液装卸必须采取密闭底部装载、顶部浸没式装载等方式，装卸过程采取油气回收措施，使用具有油气回收接口的车辆。</w:t>
            </w:r>
          </w:p>
          <w:p>
            <w:pPr>
              <w:pStyle w:val="23"/>
              <w:ind w:firstLine="480" w:firstLineChars="200"/>
              <w:rPr>
                <w:b w:val="0"/>
                <w:sz w:val="24"/>
              </w:rPr>
            </w:pPr>
            <w:r>
              <w:rPr>
                <w:b w:val="0"/>
                <w:sz w:val="24"/>
              </w:rPr>
              <w:t>（8）试油期产生的伴生气燃烧放散。</w:t>
            </w:r>
          </w:p>
          <w:bookmarkEnd w:id="49"/>
          <w:p>
            <w:pPr>
              <w:pStyle w:val="18"/>
            </w:pPr>
            <w:bookmarkStart w:id="50" w:name="_Toc10107"/>
            <w:r>
              <w:t>2 水污染防治措施</w:t>
            </w:r>
            <w:bookmarkEnd w:id="50"/>
          </w:p>
          <w:p>
            <w:pPr>
              <w:ind w:firstLine="0" w:firstLineChars="0"/>
              <w:rPr>
                <w:b/>
              </w:rPr>
            </w:pPr>
            <w:bookmarkStart w:id="51" w:name="_Toc11203"/>
            <w:r>
              <w:rPr>
                <w:b/>
              </w:rPr>
              <w:t>2.1</w:t>
            </w:r>
            <w:r>
              <w:rPr>
                <w:rFonts w:hint="eastAsia"/>
                <w:b/>
              </w:rPr>
              <w:t xml:space="preserve"> </w:t>
            </w:r>
            <w:r>
              <w:rPr>
                <w:b/>
              </w:rPr>
              <w:t>废水处置</w:t>
            </w:r>
          </w:p>
          <w:p>
            <w:pPr>
              <w:numPr>
                <w:ilvl w:val="0"/>
                <w:numId w:val="4"/>
              </w:numPr>
              <w:ind w:firstLine="480"/>
            </w:pPr>
            <w:r>
              <w:t>采用“钻井泥浆不落地技术”，严格落实防渗措施，剩余钻井泥浆由专业服务公司回收后，用于后续钻井液配置。本项目钻井期间钻井废水循环利用，不直接向外环境排放，不与周边地表水体发生水力联系。</w:t>
            </w:r>
          </w:p>
          <w:p>
            <w:pPr>
              <w:numPr>
                <w:ilvl w:val="0"/>
                <w:numId w:val="4"/>
              </w:numPr>
              <w:ind w:firstLine="480"/>
            </w:pPr>
            <w:r>
              <w:rPr>
                <w:rFonts w:hint="eastAsia"/>
              </w:rPr>
              <w:t>洗井废水</w:t>
            </w:r>
            <w:r>
              <w:t>严禁直接外排，采用专用废液收集罐收集后拉运至</w:t>
            </w:r>
            <w:r>
              <w:rPr>
                <w:rFonts w:hint="eastAsia"/>
              </w:rPr>
              <w:t>乌尔禾稀油处理站污水处理设施处理</w:t>
            </w:r>
            <w:r>
              <w:t>。本工程设4个废液收集方罐（容积21m</w:t>
            </w:r>
            <w:r>
              <w:rPr>
                <w:vertAlign w:val="superscript"/>
              </w:rPr>
              <w:t>3</w:t>
            </w:r>
            <w:r>
              <w:t>），大罐材质为钢板焊接加工组装而成，内外进行防腐。</w:t>
            </w:r>
          </w:p>
          <w:p>
            <w:pPr>
              <w:ind w:firstLine="480"/>
            </w:pPr>
            <w:r>
              <w:t>（3）钻井队在生活营地均设置了生活污水防渗收集池，生活污水均排入该池，定期清运至</w:t>
            </w:r>
            <w:r>
              <w:rPr>
                <w:rFonts w:hint="eastAsia"/>
              </w:rPr>
              <w:t>乌尔禾</w:t>
            </w:r>
            <w:r>
              <w:t>污水处理厂</w:t>
            </w:r>
            <w:r>
              <w:rPr>
                <w:rFonts w:hint="eastAsia"/>
              </w:rPr>
              <w:t>。</w:t>
            </w:r>
          </w:p>
          <w:p>
            <w:pPr>
              <w:pStyle w:val="21"/>
            </w:pPr>
            <w:r>
              <w:rPr>
                <w:rFonts w:ascii="Times New Roman" w:hAnsi="Times New Roman"/>
              </w:rPr>
              <w:t>工程钻井期间产生的废水均得到妥善处理，不外排，不会对地表水体造成污染。</w:t>
            </w:r>
          </w:p>
          <w:p>
            <w:pPr>
              <w:ind w:firstLine="0" w:firstLineChars="0"/>
              <w:rPr>
                <w:b/>
              </w:rPr>
            </w:pPr>
            <w:r>
              <w:rPr>
                <w:b/>
              </w:rPr>
              <w:t>2.2</w:t>
            </w:r>
            <w:r>
              <w:rPr>
                <w:rFonts w:hint="eastAsia"/>
                <w:b/>
              </w:rPr>
              <w:t xml:space="preserve"> </w:t>
            </w:r>
            <w:r>
              <w:rPr>
                <w:b/>
              </w:rPr>
              <w:t>污染防治措施</w:t>
            </w:r>
          </w:p>
          <w:p>
            <w:pPr>
              <w:numPr>
                <w:ilvl w:val="0"/>
                <w:numId w:val="5"/>
              </w:numPr>
              <w:ind w:firstLine="480"/>
            </w:pPr>
            <w:r>
              <w:t>防渗</w:t>
            </w:r>
          </w:p>
          <w:p>
            <w:pPr>
              <w:ind w:firstLine="480"/>
            </w:pPr>
            <w:r>
              <w:fldChar w:fldCharType="begin"/>
            </w:r>
            <w:r>
              <w:instrText xml:space="preserve"> = 1 \* GB3 \* MERGEFORMAT </w:instrText>
            </w:r>
            <w:r>
              <w:fldChar w:fldCharType="separate"/>
            </w:r>
            <w:r>
              <w:rPr>
                <w:rFonts w:ascii="宋体" w:hAnsi="宋体"/>
              </w:rPr>
              <w:t>①</w:t>
            </w:r>
            <w:r>
              <w:fldChar w:fldCharType="end"/>
            </w:r>
            <w:r>
              <w:rPr>
                <w:rFonts w:hAnsi="宋体"/>
              </w:rPr>
              <w:t>作业平台铺设防渗膜，防渗膜防渗系数需小于等于</w:t>
            </w:r>
            <w:r>
              <w:t>1.0×10</w:t>
            </w:r>
            <w:r>
              <w:rPr>
                <w:vertAlign w:val="superscript"/>
              </w:rPr>
              <w:t>-7</w:t>
            </w:r>
            <w:r>
              <w:rPr>
                <w:kern w:val="0"/>
              </w:rPr>
              <w:t>cm/s</w:t>
            </w:r>
            <w:r>
              <w:rPr>
                <w:rFonts w:hAnsi="宋体"/>
              </w:rPr>
              <w:t>。</w:t>
            </w:r>
          </w:p>
          <w:p>
            <w:pPr>
              <w:ind w:firstLine="480"/>
            </w:pPr>
            <w:r>
              <w:fldChar w:fldCharType="begin"/>
            </w:r>
            <w:r>
              <w:instrText xml:space="preserve"> = 2 \* GB3 \* MERGEFORMAT </w:instrText>
            </w:r>
            <w:r>
              <w:fldChar w:fldCharType="separate"/>
            </w:r>
            <w:r>
              <w:rPr>
                <w:rFonts w:ascii="宋体" w:hAnsi="宋体"/>
              </w:rPr>
              <w:t>②</w:t>
            </w:r>
            <w:r>
              <w:fldChar w:fldCharType="end"/>
            </w:r>
            <w:r>
              <w:rPr>
                <w:rFonts w:hAnsi="宋体"/>
              </w:rPr>
              <w:t>生活污水排入生活营地内防渗收集池（</w:t>
            </w:r>
            <w:r>
              <w:t>30m</w:t>
            </w:r>
            <w:r>
              <w:rPr>
                <w:vertAlign w:val="superscript"/>
              </w:rPr>
              <w:t>3</w:t>
            </w:r>
            <w:r>
              <w:rPr>
                <w:rFonts w:hAnsi="宋体"/>
              </w:rPr>
              <w:t>），定期吸污拉运至</w:t>
            </w:r>
            <w:r>
              <w:rPr>
                <w:rFonts w:hint="eastAsia" w:hAnsi="宋体"/>
              </w:rPr>
              <w:t>乌尔禾</w:t>
            </w:r>
            <w:r>
              <w:rPr>
                <w:rFonts w:hAnsi="宋体"/>
              </w:rPr>
              <w:t>污水处理厂处理，严禁生活污水随意外排。</w:t>
            </w:r>
          </w:p>
          <w:p>
            <w:pPr>
              <w:numPr>
                <w:ilvl w:val="0"/>
                <w:numId w:val="3"/>
              </w:numPr>
              <w:ind w:firstLine="480"/>
              <w:jc w:val="left"/>
              <w:rPr>
                <w:kern w:val="0"/>
              </w:rPr>
            </w:pPr>
            <w:r>
              <w:fldChar w:fldCharType="begin"/>
            </w:r>
            <w:r>
              <w:instrText xml:space="preserve"> = 3 \* GB3 \* MERGEFORMAT </w:instrText>
            </w:r>
            <w:r>
              <w:fldChar w:fldCharType="separate"/>
            </w:r>
            <w:r>
              <w:rPr>
                <w:rFonts w:ascii="宋体" w:hAnsi="宋体"/>
              </w:rPr>
              <w:t>③</w:t>
            </w:r>
            <w:r>
              <w:fldChar w:fldCharType="end"/>
            </w:r>
            <w:r>
              <w:rPr>
                <w:rFonts w:hint="eastAsia" w:hAnsi="宋体"/>
              </w:rPr>
              <w:t>储罐区做</w:t>
            </w:r>
            <w:r>
              <w:rPr>
                <w:rFonts w:hAnsi="宋体"/>
              </w:rPr>
              <w:t>基础的防渗，宜从上至下依次采用</w:t>
            </w:r>
            <w:r>
              <w:t>“</w:t>
            </w:r>
            <w:r>
              <w:rPr>
                <w:rFonts w:hAnsi="宋体"/>
              </w:rPr>
              <w:t>罐底板、沥青砂绝缘层、砂垫层、防水涂料层、钢筋混凝土承台、混凝土垫层</w:t>
            </w:r>
            <w:r>
              <w:t>”</w:t>
            </w:r>
            <w:r>
              <w:rPr>
                <w:rFonts w:hAnsi="宋体"/>
              </w:rPr>
              <w:t>的防渗方式。</w:t>
            </w:r>
          </w:p>
          <w:p>
            <w:pPr>
              <w:numPr>
                <w:ilvl w:val="0"/>
                <w:numId w:val="3"/>
              </w:numPr>
              <w:ind w:firstLine="480"/>
              <w:jc w:val="left"/>
              <w:rPr>
                <w:kern w:val="0"/>
              </w:rPr>
            </w:pPr>
            <w:r>
              <w:rPr>
                <w:kern w:val="0"/>
              </w:rPr>
              <w:fldChar w:fldCharType="begin"/>
            </w:r>
            <w:r>
              <w:rPr>
                <w:kern w:val="0"/>
              </w:rPr>
              <w:instrText xml:space="preserve"> = 4 \* GB3 \* MERGEFORMAT </w:instrText>
            </w:r>
            <w:r>
              <w:rPr>
                <w:kern w:val="0"/>
              </w:rPr>
              <w:fldChar w:fldCharType="separate"/>
            </w:r>
            <w:r>
              <w:rPr>
                <w:rFonts w:ascii="宋体" w:hAnsi="宋体"/>
              </w:rPr>
              <w:t>④</w:t>
            </w:r>
            <w:r>
              <w:rPr>
                <w:kern w:val="0"/>
              </w:rPr>
              <w:fldChar w:fldCharType="end"/>
            </w:r>
            <w:r>
              <w:rPr>
                <w:rFonts w:hAnsi="宋体"/>
                <w:kern w:val="0"/>
              </w:rPr>
              <w:t>放喷池为下陷式，底部及四周采用聚乙烯丙纶复合防水卷材铺贴放喷池内表面，防渗系数小于</w:t>
            </w:r>
            <w:r>
              <w:rPr>
                <w:kern w:val="0"/>
              </w:rPr>
              <w:t>10</w:t>
            </w:r>
            <w:r>
              <w:rPr>
                <w:kern w:val="0"/>
                <w:vertAlign w:val="superscript"/>
              </w:rPr>
              <w:t>-7</w:t>
            </w:r>
            <w:r>
              <w:rPr>
                <w:kern w:val="0"/>
              </w:rPr>
              <w:t>cm/s</w:t>
            </w:r>
            <w:r>
              <w:rPr>
                <w:rFonts w:hAnsi="宋体"/>
                <w:kern w:val="0"/>
              </w:rPr>
              <w:t>。</w:t>
            </w:r>
          </w:p>
          <w:p>
            <w:pPr>
              <w:numPr>
                <w:ilvl w:val="0"/>
                <w:numId w:val="3"/>
              </w:numPr>
              <w:ind w:firstLine="480"/>
              <w:jc w:val="left"/>
              <w:rPr>
                <w:kern w:val="0"/>
              </w:rPr>
            </w:pPr>
            <w:r>
              <w:rPr>
                <w:kern w:val="0"/>
              </w:rPr>
              <w:fldChar w:fldCharType="begin"/>
            </w:r>
            <w:r>
              <w:rPr>
                <w:kern w:val="0"/>
              </w:rPr>
              <w:instrText xml:space="preserve"> = 5 \* GB3 \* MERGEFORMAT </w:instrText>
            </w:r>
            <w:r>
              <w:rPr>
                <w:kern w:val="0"/>
              </w:rPr>
              <w:fldChar w:fldCharType="separate"/>
            </w:r>
            <w:r>
              <w:rPr>
                <w:rFonts w:ascii="宋体" w:hAnsi="宋体"/>
              </w:rPr>
              <w:t>⑤</w:t>
            </w:r>
            <w:r>
              <w:rPr>
                <w:kern w:val="0"/>
              </w:rPr>
              <w:fldChar w:fldCharType="end"/>
            </w:r>
            <w:r>
              <w:rPr>
                <w:rFonts w:hint="eastAsia"/>
                <w:kern w:val="0"/>
              </w:rPr>
              <w:t>方罐和气液分离器</w:t>
            </w:r>
            <w:r>
              <w:rPr>
                <w:rFonts w:hAnsi="宋体"/>
                <w:kern w:val="0"/>
              </w:rPr>
              <w:t>：宜采用</w:t>
            </w:r>
            <w:r>
              <w:rPr>
                <w:kern w:val="0"/>
              </w:rPr>
              <w:t>“</w:t>
            </w:r>
            <w:r>
              <w:rPr>
                <w:rFonts w:hAnsi="宋体"/>
                <w:kern w:val="0"/>
              </w:rPr>
              <w:t>混凝土</w:t>
            </w:r>
            <w:r>
              <w:rPr>
                <w:kern w:val="0"/>
              </w:rPr>
              <w:t>+2mm</w:t>
            </w:r>
            <w:r>
              <w:rPr>
                <w:rFonts w:hAnsi="宋体"/>
                <w:kern w:val="0"/>
              </w:rPr>
              <w:t>高密度聚乙烯膜</w:t>
            </w:r>
            <w:r>
              <w:rPr>
                <w:kern w:val="0"/>
              </w:rPr>
              <w:t>”</w:t>
            </w:r>
            <w:r>
              <w:rPr>
                <w:rFonts w:hAnsi="宋体"/>
                <w:kern w:val="0"/>
              </w:rPr>
              <w:t>防渗。</w:t>
            </w:r>
          </w:p>
          <w:p>
            <w:pPr>
              <w:numPr>
                <w:ilvl w:val="0"/>
                <w:numId w:val="5"/>
              </w:numPr>
              <w:ind w:firstLine="480"/>
            </w:pPr>
            <w:r>
              <w:rPr>
                <w:rFonts w:hint="eastAsia"/>
              </w:rPr>
              <w:t>水环境的</w:t>
            </w:r>
            <w:r>
              <w:t>保护措施</w:t>
            </w:r>
          </w:p>
          <w:p>
            <w:pPr>
              <w:ind w:firstLine="480"/>
            </w:pPr>
            <w:r>
              <w:rPr>
                <w:rFonts w:hint="eastAsia"/>
              </w:rPr>
              <w:t>如项目发生井喷会对地下水和周边水渠造成影响，</w:t>
            </w:r>
            <w:r>
              <w:t>虽然本项目钻井期间发生井喷的可能性极小，但应切实做好防止井喷的落实工作。主要措施是安装防喷器和井控装置（简易封井器等），同时随时调整泥浆密度，以最大限度地降低井喷事故的发生。</w:t>
            </w:r>
          </w:p>
          <w:p>
            <w:pPr>
              <w:ind w:firstLine="480"/>
            </w:pPr>
            <w:r>
              <w:t>①制定具体井控措施及防止井喷预案。</w:t>
            </w:r>
          </w:p>
          <w:p>
            <w:pPr>
              <w:ind w:firstLine="480"/>
            </w:pPr>
            <w:r>
              <w:t>②开钻前由建设方地质监督或受委托的相关单位地质员，对相应的停注、泄压等措施进行检查（检查结果记录在井队井控专用本上）落实，直到相应层位套管固井候凝完为止。</w:t>
            </w:r>
          </w:p>
          <w:p>
            <w:pPr>
              <w:ind w:firstLine="480"/>
            </w:pPr>
            <w:r>
              <w:t>③钻井液密度及其它性能符合设计要求，并按设计要求储备压井液、加重剂、堵漏材料和其它处理剂，对储备加重钻井液定期循环处理，防止沉淀。</w:t>
            </w:r>
          </w:p>
          <w:p>
            <w:pPr>
              <w:ind w:firstLine="480"/>
            </w:pPr>
            <w:r>
              <w:t>④送至井场的防喷器有试压曲线和试压合格证。安装防喷器前要检查闸板心尺寸是否与使用钻杆尺寸相符，液控系统功能是否齐全、可靠，液控管线有无刺漏现象。</w:t>
            </w:r>
          </w:p>
          <w:p>
            <w:pPr>
              <w:ind w:firstLine="480"/>
            </w:pPr>
            <w:r>
              <w:t>⑤钻开油、气层后，每次起下钻（活动时间间隔超过5d）对闸板防喷器及手动锁紧装置开关活动一次，定期对井控装置进行试压。</w:t>
            </w:r>
          </w:p>
          <w:p>
            <w:pPr>
              <w:ind w:firstLine="480"/>
            </w:pPr>
            <w:r>
              <w:t>⑥测井、固井、完井等作业时，要严格执行安全操作规程和井控措施，避免发生井下复杂情况和井喷失控事故。</w:t>
            </w:r>
          </w:p>
          <w:p>
            <w:pPr>
              <w:ind w:firstLine="480"/>
            </w:pPr>
            <w:r>
              <w:t>⑦要严格控制提下钻速度，防止抽汲压力过大造成井涌、井喷，激动压力过大造成井漏。提钻按规定灌好钻井液，下钻过程中注意观察井口返出钻井液情况并安排中间洗井，起下钻过程中操作要连续，减少钻具静止时间。</w:t>
            </w:r>
          </w:p>
          <w:p>
            <w:pPr>
              <w:ind w:firstLine="480"/>
            </w:pPr>
            <w:r>
              <w:t>⑧要求做好固井前的通井、循环钻井液、调整钻井液性能等工作。控制下套管速度，以防蹩漏地层。</w:t>
            </w:r>
          </w:p>
          <w:p>
            <w:pPr>
              <w:ind w:firstLine="480"/>
            </w:pPr>
            <w:r>
              <w:t>⑨</w:t>
            </w:r>
            <w:r>
              <w:rPr>
                <w:rFonts w:hint="eastAsia"/>
              </w:rPr>
              <w:t>如果发生井喷事故，含油物质泄漏到周边水渠，要及时开展应急行动，用沙袋对水流进行阻隔，再用吸污车把含油污水吸走运至乌尔禾稀油处理站的污水处理系统处理，防止含油污水对农业生产产生影响。</w:t>
            </w:r>
          </w:p>
          <w:p>
            <w:pPr>
              <w:pStyle w:val="18"/>
            </w:pPr>
            <w:r>
              <w:t>3 噪声污染防治措施</w:t>
            </w:r>
            <w:bookmarkEnd w:id="51"/>
          </w:p>
          <w:p>
            <w:pPr>
              <w:ind w:firstLine="480"/>
            </w:pPr>
            <w:r>
              <w:t>（1）钻井期做好泥浆泵、发电机和柴油机等高噪声设备的基础减振和设置隔声罩减少噪声传播，合理安排施工时间，高噪声施工设备减少夜间使用或禁止使用；避免形成污染影响；在不能对声源采取有效措施情况下，对可能受噪声影响的油田工作人员发放噪声个人防护器材。</w:t>
            </w:r>
          </w:p>
          <w:p>
            <w:pPr>
              <w:ind w:firstLine="480"/>
            </w:pPr>
            <w:r>
              <w:t>（2）定期维护泥浆泵、钻机、柴油发电机、柴油动力机组等高噪声设备。</w:t>
            </w:r>
          </w:p>
          <w:p>
            <w:pPr>
              <w:ind w:firstLine="0" w:firstLineChars="0"/>
              <w:rPr>
                <w:b/>
                <w:sz w:val="28"/>
              </w:rPr>
            </w:pPr>
            <w:bookmarkStart w:id="52" w:name="_Hlk26201164"/>
            <w:r>
              <w:rPr>
                <w:b/>
                <w:sz w:val="28"/>
              </w:rPr>
              <w:t>4 固废污染防治措施</w:t>
            </w:r>
          </w:p>
          <w:p>
            <w:pPr>
              <w:ind w:firstLine="480"/>
            </w:pPr>
            <w:bookmarkStart w:id="53" w:name="_Hlk26201155"/>
            <w:r>
              <w:rPr>
                <w:rFonts w:hint="eastAsia"/>
              </w:rPr>
              <w:t>（1）</w:t>
            </w:r>
            <w:r>
              <w:t>施工期钻井岩屑采用“泥浆不落地技术”，实现固液分离，分离出的岩屑</w:t>
            </w:r>
            <w:r>
              <w:rPr>
                <w:rFonts w:hint="eastAsia"/>
              </w:rPr>
              <w:t>收集</w:t>
            </w:r>
            <w:r>
              <w:t>于岩屑储罐，委托</w:t>
            </w:r>
            <w:r>
              <w:rPr>
                <w:rFonts w:hint="eastAsia"/>
              </w:rPr>
              <w:t>有资质的单位</w:t>
            </w:r>
            <w:r>
              <w:t>处置。</w:t>
            </w:r>
          </w:p>
          <w:p>
            <w:pPr>
              <w:ind w:firstLine="480"/>
            </w:pPr>
            <w:r>
              <w:t>（</w:t>
            </w:r>
            <w:r>
              <w:rPr>
                <w:rFonts w:hint="eastAsia"/>
              </w:rPr>
              <w:t>2</w:t>
            </w:r>
            <w:r>
              <w:t>）物料及废物不乱排乱放，严禁各种油料落地。</w:t>
            </w:r>
          </w:p>
          <w:p>
            <w:pPr>
              <w:ind w:firstLine="480"/>
            </w:pPr>
            <w:r>
              <w:t>（</w:t>
            </w:r>
            <w:r>
              <w:rPr>
                <w:rFonts w:hint="eastAsia"/>
              </w:rPr>
              <w:t>3</w:t>
            </w:r>
            <w:r>
              <w:t>）施工单位应及时回收落地油等废物，在油管管桥下等部位铺塑料布，防止原油落地，同时辅以人工收油方式，站内设置油桶封装贮存，完钻后交由有资质单位处置，不外排。</w:t>
            </w:r>
          </w:p>
          <w:p>
            <w:pPr>
              <w:ind w:firstLine="480"/>
            </w:pPr>
            <w:r>
              <w:t>（</w:t>
            </w:r>
            <w:r>
              <w:rPr>
                <w:rFonts w:hint="eastAsia"/>
              </w:rPr>
              <w:t>4</w:t>
            </w:r>
            <w:r>
              <w:t>）压裂返排液进入</w:t>
            </w:r>
            <w:r>
              <w:rPr>
                <w:rFonts w:hint="eastAsia"/>
              </w:rPr>
              <w:t>乌尔禾稀油处理站</w:t>
            </w:r>
            <w:r>
              <w:t>污水处理</w:t>
            </w:r>
            <w:r>
              <w:rPr>
                <w:rFonts w:hint="eastAsia"/>
              </w:rPr>
              <w:t>系统</w:t>
            </w:r>
            <w:r>
              <w:t>处理，拉运过程中要求满足《危险废物收集 贮存 运输技术规范》（HJ 2025-2012）。</w:t>
            </w:r>
          </w:p>
          <w:p>
            <w:pPr>
              <w:ind w:firstLine="480"/>
            </w:pPr>
            <w:r>
              <w:t>（</w:t>
            </w:r>
            <w:r>
              <w:rPr>
                <w:rFonts w:hint="eastAsia"/>
              </w:rPr>
              <w:t>5</w:t>
            </w:r>
            <w:r>
              <w:t>）井场垃圾分类存储，上加遮盖防止风吹飘散，严禁现场抛洒、焚烧、掩埋。</w:t>
            </w:r>
          </w:p>
          <w:p>
            <w:pPr>
              <w:ind w:firstLine="480"/>
            </w:pPr>
            <w:r>
              <w:rPr>
                <w:rFonts w:hint="eastAsia"/>
              </w:rPr>
              <w:t>（6）施工期少量生活垃圾，由施工单位清运至乌尔禾区</w:t>
            </w:r>
            <w:r>
              <w:t>生活垃圾</w:t>
            </w:r>
            <w:r>
              <w:rPr>
                <w:rFonts w:hint="eastAsia"/>
              </w:rPr>
              <w:t>填埋场处理。</w:t>
            </w:r>
          </w:p>
          <w:p>
            <w:pPr>
              <w:ind w:firstLine="480"/>
            </w:pPr>
            <w:r>
              <w:t>（</w:t>
            </w:r>
            <w:r>
              <w:rPr>
                <w:rFonts w:hint="eastAsia"/>
              </w:rPr>
              <w:t>6</w:t>
            </w:r>
            <w:r>
              <w:t>）机械维修废油、落地油贮存过程中，使用的容器必须完好无损，盛装危险废物的容器材质和衬里要与危险废物相容（不相互反应），收集场所的基础必须防渗。</w:t>
            </w:r>
          </w:p>
          <w:p>
            <w:pPr>
              <w:ind w:firstLine="480"/>
            </w:pPr>
            <w:r>
              <w:t>（</w:t>
            </w:r>
            <w:r>
              <w:rPr>
                <w:rFonts w:hint="eastAsia"/>
              </w:rPr>
              <w:t>7</w:t>
            </w:r>
            <w:r>
              <w:t>）生活营地内设置垃圾箱，施工期含油抹布、手套等用品与生活垃圾一起统一收集，由施工单位清运至</w:t>
            </w:r>
            <w:r>
              <w:rPr>
                <w:rFonts w:hint="eastAsia"/>
                <w:bCs/>
              </w:rPr>
              <w:t>乌尔禾区生活垃圾填埋场</w:t>
            </w:r>
            <w:r>
              <w:t>。</w:t>
            </w:r>
          </w:p>
          <w:p>
            <w:pPr>
              <w:pStyle w:val="21"/>
              <w:tabs>
                <w:tab w:val="left" w:pos="446"/>
              </w:tabs>
              <w:rPr>
                <w:rFonts w:ascii="Times New Roman" w:hAnsi="Times New Roman"/>
              </w:rPr>
            </w:pPr>
            <w:r>
              <w:rPr>
                <w:rFonts w:hint="eastAsia" w:ascii="Times New Roman" w:hAnsi="Times New Roman"/>
              </w:rPr>
              <w:t>（8）一般工业固废执行《一般工业固体废物管理台账制定指南（试行》中的管理要求，实施分级管理，记录固体废物的产生、贮存、处置方式等信息。</w:t>
            </w:r>
          </w:p>
          <w:p>
            <w:pPr>
              <w:pStyle w:val="21"/>
            </w:pPr>
            <w:r>
              <w:rPr>
                <w:rFonts w:ascii="Times New Roman" w:hAnsi="Times New Roman"/>
              </w:rPr>
              <w:t>（</w:t>
            </w:r>
            <w:r>
              <w:rPr>
                <w:rFonts w:hint="eastAsia" w:ascii="Times New Roman" w:hAnsi="Times New Roman"/>
              </w:rPr>
              <w:t>9</w:t>
            </w:r>
            <w:r>
              <w:rPr>
                <w:rFonts w:ascii="Times New Roman" w:hAnsi="Times New Roman"/>
              </w:rPr>
              <w:t>）钻井井场不设危险废物暂存间，产生的机械设备废油、废弃防渗膜等均由施工单位委托具有相应危废转运、处置资质的单位进行处置。危险废物的收集过程中，应依据《危险废物收集 贮存 运输技术规范》（HJ 2025-2012）的要求进行管理，采用专用车辆到指定地点收集运输危险废物，运输过程中不准设置中转储存点，严禁偷排、洒落、</w:t>
            </w:r>
            <w:r>
              <w:t>泄漏和随意倾倒等。此外，要求钻井完工前完成危险废物转移工作。</w:t>
            </w:r>
          </w:p>
          <w:p>
            <w:pPr>
              <w:pStyle w:val="21"/>
              <w:rPr>
                <w:rFonts w:ascii="Times New Roman" w:hAnsi="Times New Roman"/>
              </w:rPr>
            </w:pPr>
            <w:r>
              <w:rPr>
                <w:rFonts w:ascii="Times New Roman" w:hAnsi="Times New Roman"/>
              </w:rPr>
              <w:t>建设单位应依据《危险废物收集、贮存、运输技术规范》(HJ2025-2012)和《危险废物转移管理办法》（部令 第23号2022年1月1日起施行）要求中有关规定，项目应加强以下措施：</w:t>
            </w:r>
          </w:p>
          <w:p>
            <w:pPr>
              <w:pStyle w:val="21"/>
              <w:rPr>
                <w:rFonts w:ascii="Times New Roman" w:hAnsi="Times New Roman"/>
              </w:rPr>
            </w:pPr>
            <w:r>
              <w:rPr>
                <w:rFonts w:ascii="Times New Roman" w:hAnsi="Times New Roman"/>
              </w:rPr>
              <w:t>A、收集作业</w:t>
            </w:r>
          </w:p>
          <w:p>
            <w:pPr>
              <w:pStyle w:val="21"/>
              <w:rPr>
                <w:rFonts w:ascii="Times New Roman" w:hAnsi="Times New Roman"/>
              </w:rPr>
            </w:pPr>
            <w:r>
              <w:rPr>
                <w:rFonts w:ascii="Times New Roman" w:hAnsi="Times New Roman"/>
              </w:rPr>
              <w:t>①应根据收集设备、转运车辆以及现场人员等实际情况确定相应作业区域，同时要设置作业界限标志和警示牌。</w:t>
            </w:r>
          </w:p>
          <w:p>
            <w:pPr>
              <w:pStyle w:val="21"/>
              <w:rPr>
                <w:rFonts w:ascii="Times New Roman" w:hAnsi="Times New Roman"/>
              </w:rPr>
            </w:pPr>
            <w:r>
              <w:rPr>
                <w:rFonts w:ascii="Times New Roman" w:hAnsi="Times New Roman"/>
              </w:rPr>
              <w:t>②作业区域内应设置危险废物收集专用通道和人员避险通道。</w:t>
            </w:r>
          </w:p>
          <w:p>
            <w:pPr>
              <w:pStyle w:val="21"/>
              <w:rPr>
                <w:rFonts w:ascii="Times New Roman" w:hAnsi="Times New Roman"/>
              </w:rPr>
            </w:pPr>
            <w:r>
              <w:rPr>
                <w:rFonts w:ascii="Times New Roman" w:hAnsi="Times New Roman"/>
              </w:rPr>
              <w:t>③收集时应配备必要的收集工具和包装物，以及必要的应急监测设备及应急装备。</w:t>
            </w:r>
          </w:p>
          <w:p>
            <w:pPr>
              <w:pStyle w:val="21"/>
              <w:rPr>
                <w:rFonts w:ascii="Times New Roman" w:hAnsi="Times New Roman"/>
              </w:rPr>
            </w:pPr>
            <w:r>
              <w:rPr>
                <w:rFonts w:ascii="Times New Roman" w:hAnsi="Times New Roman"/>
              </w:rPr>
              <w:t>④危险废物收集应填写记录表，并将记录表作为危险废物管理的重要档案妥善保存。</w:t>
            </w:r>
          </w:p>
          <w:p>
            <w:pPr>
              <w:pStyle w:val="21"/>
              <w:rPr>
                <w:rFonts w:ascii="Times New Roman" w:hAnsi="Times New Roman"/>
              </w:rPr>
            </w:pPr>
            <w:r>
              <w:rPr>
                <w:rFonts w:ascii="Times New Roman" w:hAnsi="Times New Roman"/>
              </w:rPr>
              <w:t>⑤收集结束后应清理和恢复收集作业区域，确保作业区域环境整洁安全。</w:t>
            </w:r>
          </w:p>
          <w:p>
            <w:pPr>
              <w:pStyle w:val="21"/>
              <w:rPr>
                <w:rFonts w:ascii="Times New Roman" w:hAnsi="Times New Roman"/>
              </w:rPr>
            </w:pPr>
            <w:r>
              <w:rPr>
                <w:rFonts w:ascii="Times New Roman" w:hAnsi="Times New Roman"/>
              </w:rPr>
              <w:t>⑥收集过危险废物的容器、设备、设施、场所及其它物品转作它用时，应消除污染，确保其使用安全。</w:t>
            </w:r>
          </w:p>
          <w:p>
            <w:pPr>
              <w:pStyle w:val="21"/>
              <w:rPr>
                <w:rFonts w:ascii="Times New Roman" w:hAnsi="Times New Roman"/>
              </w:rPr>
            </w:pPr>
            <w:r>
              <w:rPr>
                <w:rFonts w:hint="eastAsia" w:ascii="Times New Roman" w:hAnsi="Times New Roman"/>
              </w:rPr>
              <w:t>B</w:t>
            </w:r>
            <w:r>
              <w:rPr>
                <w:rFonts w:ascii="Times New Roman" w:hAnsi="Times New Roman"/>
              </w:rPr>
              <w:t>、危险废物转移</w:t>
            </w:r>
          </w:p>
          <w:p>
            <w:pPr>
              <w:pStyle w:val="21"/>
              <w:rPr>
                <w:rFonts w:ascii="Times New Roman" w:hAnsi="Times New Roman"/>
              </w:rPr>
            </w:pPr>
            <w:r>
              <w:rPr>
                <w:rFonts w:ascii="Times New Roman" w:hAnsi="Times New Roman"/>
              </w:rPr>
              <w:t>①转移危险废物的，应当执行危险废物转移联单制度，法律法规另有规定的除外。</w:t>
            </w:r>
          </w:p>
          <w:p>
            <w:pPr>
              <w:pStyle w:val="21"/>
              <w:rPr>
                <w:rFonts w:ascii="Times New Roman" w:hAnsi="Times New Roman"/>
              </w:rPr>
            </w:pPr>
            <w:r>
              <w:rPr>
                <w:rFonts w:ascii="Times New Roman" w:hAnsi="Times New Roman"/>
              </w:rPr>
              <w:t>②运输危险废物的，应当遵守国家有关危险货物运输管理的规定。未经公安机关批准，危险废物运输车辆不得进入危险货物运输车辆限制通行的区域。</w:t>
            </w:r>
          </w:p>
          <w:p>
            <w:pPr>
              <w:pStyle w:val="21"/>
              <w:rPr>
                <w:rFonts w:ascii="Times New Roman" w:hAnsi="Times New Roman"/>
              </w:rPr>
            </w:pPr>
            <w:r>
              <w:rPr>
                <w:rFonts w:ascii="Times New Roman" w:hAnsi="Times New Roman"/>
              </w:rPr>
              <w:t>③在危险废物转移过程中应当采取防扬散、防流失、防渗漏或者其他防止污染环境的措施，不得擅自倾倒、堆放、丢弃、遗撒危险废物。</w:t>
            </w:r>
          </w:p>
          <w:p>
            <w:pPr>
              <w:pStyle w:val="21"/>
              <w:rPr>
                <w:rFonts w:ascii="Times New Roman" w:hAnsi="Times New Roman"/>
              </w:rPr>
            </w:pPr>
            <w:r>
              <w:rPr>
                <w:rFonts w:ascii="Times New Roman" w:hAnsi="Times New Roman"/>
              </w:rPr>
              <w:t>④制定危险废物管理计划，明确拟转移危险废物的种类、重量（数量）和流向等信息。</w:t>
            </w:r>
          </w:p>
          <w:p>
            <w:pPr>
              <w:pStyle w:val="21"/>
              <w:rPr>
                <w:rFonts w:ascii="Times New Roman" w:hAnsi="Times New Roman"/>
              </w:rPr>
            </w:pPr>
            <w:r>
              <w:rPr>
                <w:rFonts w:hint="eastAsia" w:ascii="Times New Roman" w:hAnsi="Times New Roman"/>
              </w:rPr>
              <w:t>C</w:t>
            </w:r>
            <w:r>
              <w:rPr>
                <w:rFonts w:ascii="Times New Roman" w:hAnsi="Times New Roman"/>
              </w:rPr>
              <w:t>、危险废物的运输</w:t>
            </w:r>
          </w:p>
          <w:p>
            <w:pPr>
              <w:pStyle w:val="21"/>
              <w:rPr>
                <w:rFonts w:ascii="Times New Roman" w:hAnsi="Times New Roman"/>
              </w:rPr>
            </w:pPr>
            <w:r>
              <w:rPr>
                <w:rFonts w:ascii="Times New Roman" w:hAnsi="Times New Roman"/>
              </w:rPr>
              <w:t>①危险废物运输应由持有危险废物经营许可证的单位按照其许可证的经营范围组织实施，承担危险废物运输的单位应获得交通运输部门颁发的危险货物运输资质。</w:t>
            </w:r>
          </w:p>
          <w:p>
            <w:pPr>
              <w:pStyle w:val="21"/>
              <w:rPr>
                <w:rFonts w:ascii="Times New Roman" w:hAnsi="Times New Roman"/>
              </w:rPr>
            </w:pPr>
            <w:r>
              <w:rPr>
                <w:rFonts w:ascii="Times New Roman" w:hAnsi="Times New Roman"/>
              </w:rPr>
              <w:t>②废弃危险化学品的运输应执行《危险化学品安全管理条例》有关运输的规定。</w:t>
            </w:r>
          </w:p>
          <w:p>
            <w:pPr>
              <w:pStyle w:val="21"/>
              <w:rPr>
                <w:rFonts w:ascii="Times New Roman" w:hAnsi="Times New Roman"/>
              </w:rPr>
            </w:pPr>
            <w:r>
              <w:rPr>
                <w:rFonts w:ascii="Times New Roman" w:hAnsi="Times New Roman"/>
              </w:rPr>
              <w:t>③运输单位承运危险废物时，应在危险废物包装上按照《危险废物贮存污染控制标准》（GB18597-2001）附录A设置标志。</w:t>
            </w:r>
          </w:p>
          <w:p>
            <w:pPr>
              <w:pStyle w:val="21"/>
              <w:rPr>
                <w:rFonts w:ascii="Times New Roman" w:hAnsi="Times New Roman"/>
              </w:rPr>
            </w:pPr>
            <w:r>
              <w:rPr>
                <w:rFonts w:ascii="Times New Roman" w:hAnsi="Times New Roman"/>
              </w:rPr>
              <w:t>④危险废物公路运输时，运输车辆应按《道路危险货物运输管理规定》(交通部令</w:t>
            </w:r>
            <w:r>
              <w:rPr>
                <w:rFonts w:hint="eastAsia"/>
                <w:bCs/>
              </w:rPr>
              <w:t>〔</w:t>
            </w:r>
            <w:r>
              <w:rPr>
                <w:rFonts w:ascii="Times New Roman" w:hAnsi="Times New Roman"/>
              </w:rPr>
              <w:t>2005年</w:t>
            </w:r>
            <w:r>
              <w:rPr>
                <w:rFonts w:hint="eastAsia"/>
                <w:bCs/>
              </w:rPr>
              <w:t>〕</w:t>
            </w:r>
            <w:r>
              <w:rPr>
                <w:rFonts w:ascii="Times New Roman" w:hAnsi="Times New Roman"/>
              </w:rPr>
              <w:t>第9号)、JT617以及JT618执行。</w:t>
            </w:r>
          </w:p>
          <w:p>
            <w:pPr>
              <w:pStyle w:val="21"/>
              <w:rPr>
                <w:rFonts w:ascii="Times New Roman" w:hAnsi="Times New Roman"/>
              </w:rPr>
            </w:pPr>
            <w:r>
              <w:rPr>
                <w:rFonts w:ascii="Times New Roman" w:hAnsi="Times New Roman"/>
              </w:rPr>
              <w:t>危险废物运输时的中转、装卸过程应遵守如下技术要求：</w:t>
            </w:r>
          </w:p>
          <w:p>
            <w:pPr>
              <w:pStyle w:val="21"/>
              <w:rPr>
                <w:rFonts w:ascii="Times New Roman" w:hAnsi="Times New Roman"/>
              </w:rPr>
            </w:pPr>
            <w:r>
              <w:rPr>
                <w:rFonts w:ascii="Times New Roman" w:hAnsi="Times New Roman"/>
              </w:rPr>
              <w:t>①卸载区的工作人员应熟悉废物的危险特性，并配备适当的个人防护装备，装卸剧毒废物应配备特殊的防护装备。</w:t>
            </w:r>
          </w:p>
          <w:p>
            <w:pPr>
              <w:pStyle w:val="21"/>
              <w:rPr>
                <w:rFonts w:ascii="Times New Roman" w:hAnsi="Times New Roman"/>
              </w:rPr>
            </w:pPr>
            <w:r>
              <w:rPr>
                <w:rFonts w:ascii="Times New Roman" w:hAnsi="Times New Roman"/>
              </w:rPr>
              <w:t>②卸载区应配备必要的消防设备和设施，并设置明显的指示标志。</w:t>
            </w:r>
          </w:p>
          <w:p>
            <w:pPr>
              <w:pStyle w:val="21"/>
              <w:rPr>
                <w:rFonts w:ascii="Times New Roman" w:hAnsi="Times New Roman"/>
              </w:rPr>
            </w:pPr>
            <w:r>
              <w:rPr>
                <w:rFonts w:ascii="Times New Roman" w:hAnsi="Times New Roman"/>
              </w:rPr>
              <w:t>③危险废物装卸区应设置隔离设施，液态废物卸载区应设置收集槽和缓冲罐。</w:t>
            </w:r>
          </w:p>
          <w:p>
            <w:pPr>
              <w:pStyle w:val="21"/>
              <w:rPr>
                <w:rFonts w:ascii="Times New Roman" w:hAnsi="Times New Roman"/>
              </w:rPr>
            </w:pPr>
            <w:r>
              <w:rPr>
                <w:rFonts w:hint="eastAsia" w:ascii="Times New Roman" w:hAnsi="Times New Roman"/>
              </w:rPr>
              <w:t>D</w:t>
            </w:r>
            <w:r>
              <w:rPr>
                <w:rFonts w:ascii="Times New Roman" w:hAnsi="Times New Roman"/>
              </w:rPr>
              <w:t>、危险废物管理</w:t>
            </w:r>
          </w:p>
          <w:p>
            <w:pPr>
              <w:pStyle w:val="21"/>
              <w:rPr>
                <w:rFonts w:ascii="Times New Roman" w:hAnsi="Times New Roman"/>
              </w:rPr>
            </w:pPr>
            <w:r>
              <w:rPr>
                <w:rFonts w:ascii="Times New Roman" w:hAnsi="Times New Roman"/>
              </w:rPr>
              <w:t>根据《危险废物环境管理指南 陆上石油天然气开采》（2021年12月22日）相关要求如下：</w:t>
            </w:r>
          </w:p>
          <w:p>
            <w:pPr>
              <w:pStyle w:val="21"/>
              <w:rPr>
                <w:rFonts w:ascii="Times New Roman" w:hAnsi="Times New Roman"/>
              </w:rPr>
            </w:pPr>
            <w:r>
              <w:rPr>
                <w:rFonts w:ascii="Times New Roman" w:hAnsi="Times New Roman"/>
              </w:rPr>
              <w:t>①落实污染环境防治责任制度，建立健全危险废物产生、收集、贮存、运输、利用、处置全过程的污染环境防治责任制度。</w:t>
            </w:r>
          </w:p>
          <w:p>
            <w:pPr>
              <w:pStyle w:val="21"/>
              <w:rPr>
                <w:rFonts w:ascii="Times New Roman" w:hAnsi="Times New Roman"/>
              </w:rPr>
            </w:pPr>
            <w:r>
              <w:rPr>
                <w:rFonts w:ascii="Times New Roman" w:hAnsi="Times New Roman"/>
              </w:rPr>
              <w:t>②落实危险废物识别标志制度，按照《环境保护图形标志固体废物贮存（处置）场》（GB 15562.2）等有关规定，对危险废物的容器和包装物以及收集、贮存、运输、利用、处置危险废物的设施、场所设置危险废物识别标志。</w:t>
            </w:r>
          </w:p>
          <w:p>
            <w:pPr>
              <w:pStyle w:val="21"/>
              <w:rPr>
                <w:rFonts w:ascii="Times New Roman" w:hAnsi="Times New Roman"/>
              </w:rPr>
            </w:pPr>
            <w:r>
              <w:rPr>
                <w:rFonts w:ascii="Times New Roman" w:hAnsi="Times New Roman"/>
              </w:rPr>
              <w:t>③落实危险废物管理计划制度，按照《危险废物产生单位管理计划制定指南》等有关要求制定危险废物管理计划，明确拟转移危险废物的种类、重量（数量）和流向等信息</w:t>
            </w:r>
            <w:r>
              <w:rPr>
                <w:rFonts w:hint="eastAsia" w:ascii="Times New Roman" w:hAnsi="Times New Roman"/>
              </w:rPr>
              <w:t>，</w:t>
            </w:r>
            <w:r>
              <w:rPr>
                <w:rFonts w:ascii="Times New Roman" w:hAnsi="Times New Roman"/>
              </w:rPr>
              <w:t>并报所在地生态环境主管部门备案。</w:t>
            </w:r>
          </w:p>
          <w:p>
            <w:pPr>
              <w:pStyle w:val="21"/>
              <w:rPr>
                <w:rFonts w:ascii="Times New Roman" w:hAnsi="Times New Roman"/>
              </w:rPr>
            </w:pPr>
            <w:r>
              <w:rPr>
                <w:rFonts w:ascii="Times New Roman" w:hAnsi="Times New Roman"/>
              </w:rPr>
              <w:t>④落实危险废物管理台账及申报制度，建立危险废物管理台账，如实记录有关信息，</w:t>
            </w:r>
            <w:r>
              <w:rPr>
                <w:rFonts w:hint="eastAsia" w:ascii="Times New Roman" w:hAnsi="Times New Roman"/>
              </w:rPr>
              <w:t>应当按照《危险废物管理计划和管理台账制定技术导则》（HJ 1259-2022）的有关规定施行，</w:t>
            </w:r>
            <w:r>
              <w:rPr>
                <w:rFonts w:ascii="Times New Roman" w:hAnsi="Times New Roman"/>
              </w:rPr>
              <w:t>并通过国家危险废物信息管理系统向所在地生态环境主管部门申报危险废物的种类、产生量、流向、贮存、处置等有关资料。</w:t>
            </w:r>
          </w:p>
          <w:p>
            <w:pPr>
              <w:pStyle w:val="21"/>
              <w:rPr>
                <w:rFonts w:ascii="Times New Roman" w:hAnsi="Times New Roman"/>
              </w:rPr>
            </w:pPr>
            <w:r>
              <w:rPr>
                <w:rFonts w:ascii="Times New Roman" w:hAnsi="Times New Roman"/>
              </w:rPr>
              <w:t>⑤落实《危险废物转移管理办法》，转移危险废物的，应当按照《危险废物转移管理办法》的有关规定填写、运行危险废物转移联单</w:t>
            </w:r>
            <w:r>
              <w:rPr>
                <w:rFonts w:hint="eastAsia" w:ascii="Times New Roman" w:hAnsi="Times New Roman"/>
              </w:rPr>
              <w:t>，</w:t>
            </w:r>
            <w:r>
              <w:rPr>
                <w:rFonts w:ascii="Times New Roman" w:hAnsi="Times New Roman"/>
              </w:rPr>
              <w:t>在危险废物转移联单中如实填写移出人、承运人、接受人信息，转移危险废物的种类、重量（数量）、危险特性等信息，以及突发环境事件的防范措施等；及时核实接受人贮存、利用或者处置相关危险废物情况。运输危险废物，应当采取防止污染环境的措施，并遵守国家有关危险货物运输管理的规定。移出人应当按照国家有关要求开展危险废物鉴别。禁止将危险废物以副产品等名义提供或者委托给无危险废物经营许可证的单位或者其他生产经营者从事收集、贮存、利用、处置活动。</w:t>
            </w:r>
          </w:p>
          <w:p>
            <w:pPr>
              <w:pStyle w:val="21"/>
              <w:rPr>
                <w:rFonts w:ascii="Times New Roman" w:hAnsi="Times New Roman"/>
              </w:rPr>
            </w:pPr>
            <w:r>
              <w:rPr>
                <w:rFonts w:ascii="Times New Roman" w:hAnsi="Times New Roman"/>
              </w:rPr>
              <w:t>⑥危险废物收集、贮存应当按照其特性分类进行；禁止将危险废物混入非危险废物中贮存。危险废物收集、贮存和运输过程的污染控制执行《危险废物贮存污染控制标准》（GB 18597）《危险废物收集贮存运输技术规范》（HJ 2025）等有关规定。</w:t>
            </w:r>
          </w:p>
          <w:p>
            <w:pPr>
              <w:pStyle w:val="21"/>
              <w:rPr>
                <w:rFonts w:ascii="Times New Roman" w:hAnsi="Times New Roman"/>
              </w:rPr>
            </w:pPr>
            <w:r>
              <w:rPr>
                <w:rFonts w:ascii="Times New Roman" w:hAnsi="Times New Roman"/>
              </w:rPr>
              <w:t>⑦及时核实接受人贮存、利用或者处置相关危险废物情况</w:t>
            </w:r>
            <w:r>
              <w:rPr>
                <w:rFonts w:hint="eastAsia" w:ascii="Times New Roman" w:hAnsi="Times New Roman"/>
              </w:rPr>
              <w:t>。</w:t>
            </w:r>
          </w:p>
          <w:p>
            <w:pPr>
              <w:pStyle w:val="21"/>
              <w:rPr>
                <w:rFonts w:ascii="Times New Roman" w:hAnsi="Times New Roman"/>
              </w:rPr>
            </w:pPr>
            <w:r>
              <w:rPr>
                <w:rFonts w:ascii="Times New Roman" w:hAnsi="Times New Roman"/>
              </w:rPr>
              <w:t>本项目产生的危险废物委托具有相应危废转运、处置资质的单位转运及处置。转运过程严格按照相关要求进行操作转运，严禁由不具备相应资质的单位私自转运。</w:t>
            </w:r>
          </w:p>
          <w:p>
            <w:pPr>
              <w:pStyle w:val="21"/>
            </w:pPr>
            <w:r>
              <w:rPr>
                <w:rFonts w:ascii="Times New Roman" w:hAnsi="Times New Roman"/>
              </w:rPr>
              <w:t>完井后，井场废物全部进行清理、回收处理，做的“工完、料尽、场地清”。</w:t>
            </w:r>
          </w:p>
          <w:bookmarkEnd w:id="52"/>
          <w:bookmarkEnd w:id="53"/>
          <w:p>
            <w:pPr>
              <w:pStyle w:val="18"/>
            </w:pPr>
            <w:r>
              <w:t>5 土壤污染防治措施</w:t>
            </w:r>
          </w:p>
          <w:p>
            <w:pPr>
              <w:pStyle w:val="21"/>
              <w:rPr>
                <w:rFonts w:ascii="Times New Roman" w:hAnsi="Times New Roman"/>
              </w:rPr>
            </w:pPr>
            <w:r>
              <w:rPr>
                <w:rFonts w:ascii="Times New Roman" w:hAnsi="Times New Roman"/>
              </w:rPr>
              <w:t>（1）应严格控制施工期临时占地面积，按设计及规划的施工范围进行施工作业，减少土壤扰动。</w:t>
            </w:r>
          </w:p>
          <w:p>
            <w:pPr>
              <w:pStyle w:val="21"/>
              <w:rPr>
                <w:rFonts w:ascii="Times New Roman" w:hAnsi="Times New Roman"/>
              </w:rPr>
            </w:pPr>
            <w:r>
              <w:rPr>
                <w:rFonts w:ascii="Times New Roman" w:hAnsi="Times New Roman"/>
              </w:rPr>
              <w:t>（2）施工机械及运输车辆应按规定的道路行驶，减少对土壤的碾压，减少碾压造成的土壤紧实度增加及养分流失。</w:t>
            </w:r>
          </w:p>
          <w:p>
            <w:pPr>
              <w:pStyle w:val="21"/>
              <w:rPr>
                <w:rFonts w:ascii="Times New Roman" w:hAnsi="Times New Roman"/>
              </w:rPr>
            </w:pPr>
            <w:r>
              <w:rPr>
                <w:rFonts w:ascii="Times New Roman" w:hAnsi="Times New Roman"/>
              </w:rPr>
              <w:t>（3）施工产生的建筑垃圾不得随意抛洒，应集中收集并及时清运，防止污染物进入土壤环境造成污染。</w:t>
            </w:r>
          </w:p>
          <w:p>
            <w:pPr>
              <w:pStyle w:val="21"/>
            </w:pPr>
            <w:r>
              <w:rPr>
                <w:rFonts w:ascii="Times New Roman" w:hAnsi="Times New Roman"/>
              </w:rPr>
              <w:t>综上所述，正常情况</w:t>
            </w:r>
            <w:r>
              <w:t>下，钻井及试油工程不会污染土壤环境，非正常情况下，采取有效措施后可减轻对土壤环境的影响。在做好源头控制、过程防控等措施的前提下，可避免工程实施对土壤环境产生污染影响。</w:t>
            </w:r>
          </w:p>
          <w:p>
            <w:pPr>
              <w:pStyle w:val="18"/>
            </w:pPr>
            <w:r>
              <w:t>6 生态环境保护措施</w:t>
            </w:r>
          </w:p>
          <w:p>
            <w:pPr>
              <w:pStyle w:val="19"/>
            </w:pPr>
            <w:r>
              <w:t>6.1</w:t>
            </w:r>
            <w:r>
              <w:rPr>
                <w:rFonts w:hint="eastAsia"/>
              </w:rPr>
              <w:t xml:space="preserve"> </w:t>
            </w:r>
            <w:r>
              <w:t>生态保护措施</w:t>
            </w:r>
          </w:p>
          <w:p>
            <w:pPr>
              <w:pStyle w:val="21"/>
              <w:rPr>
                <w:rFonts w:ascii="Times New Roman" w:hAnsi="Times New Roman"/>
              </w:rPr>
            </w:pPr>
            <w:r>
              <w:rPr>
                <w:rFonts w:ascii="Times New Roman" w:hAnsi="Times New Roman"/>
              </w:rPr>
              <w:t>项目占地合理规划，尽量避让植被较多的区域；严格控制施工作业带宽度，</w:t>
            </w:r>
            <w:r>
              <w:rPr>
                <w:rFonts w:hint="eastAsia" w:ascii="Times New Roman" w:hAnsi="Times New Roman"/>
              </w:rPr>
              <w:t>在临时征地范围内施工</w:t>
            </w:r>
            <w:r>
              <w:rPr>
                <w:rFonts w:ascii="Times New Roman" w:hAnsi="Times New Roman"/>
              </w:rPr>
              <w:t>；在施工结束后，</w:t>
            </w:r>
            <w:r>
              <w:rPr>
                <w:rFonts w:hint="eastAsia" w:ascii="Times New Roman" w:hAnsi="Times New Roman"/>
              </w:rPr>
              <w:t>对</w:t>
            </w:r>
            <w:r>
              <w:rPr>
                <w:rFonts w:hint="eastAsia" w:ascii="Times New Roman" w:hAnsi="Times New Roman"/>
                <w:szCs w:val="21"/>
              </w:rPr>
              <w:t>转产井</w:t>
            </w:r>
            <w:r>
              <w:rPr>
                <w:rFonts w:ascii="Times New Roman" w:hAnsi="Times New Roman"/>
                <w:szCs w:val="21"/>
              </w:rPr>
              <w:t>在产能开发建设前</w:t>
            </w:r>
            <w:r>
              <w:rPr>
                <w:rFonts w:hint="eastAsia" w:ascii="Times New Roman" w:hAnsi="Times New Roman"/>
                <w:szCs w:val="21"/>
              </w:rPr>
              <w:t>应另</w:t>
            </w:r>
            <w:r>
              <w:rPr>
                <w:rFonts w:ascii="Times New Roman" w:hAnsi="Times New Roman"/>
                <w:szCs w:val="21"/>
              </w:rPr>
              <w:t>开展环境影响评价工作</w:t>
            </w:r>
            <w:r>
              <w:rPr>
                <w:rFonts w:hint="eastAsia" w:ascii="Times New Roman" w:hAnsi="Times New Roman"/>
              </w:rPr>
              <w:t>，对废弃井的</w:t>
            </w:r>
            <w:r>
              <w:rPr>
                <w:rFonts w:ascii="Times New Roman" w:hAnsi="Times New Roman"/>
              </w:rPr>
              <w:t>施工场地</w:t>
            </w:r>
            <w:r>
              <w:rPr>
                <w:rFonts w:hint="eastAsia" w:ascii="Times New Roman" w:hAnsi="Times New Roman"/>
              </w:rPr>
              <w:t>应及时</w:t>
            </w:r>
            <w:r>
              <w:rPr>
                <w:rFonts w:ascii="Times New Roman" w:hAnsi="Times New Roman"/>
              </w:rPr>
              <w:t>进行</w:t>
            </w:r>
            <w:r>
              <w:rPr>
                <w:rFonts w:hint="eastAsia" w:ascii="Times New Roman" w:hAnsi="Times New Roman"/>
              </w:rPr>
              <w:t>清理、</w:t>
            </w:r>
            <w:r>
              <w:rPr>
                <w:rFonts w:ascii="Times New Roman" w:hAnsi="Times New Roman"/>
              </w:rPr>
              <w:t>平整，以便后期自然恢复</w:t>
            </w:r>
            <w:r>
              <w:rPr>
                <w:rFonts w:hint="eastAsia" w:ascii="Times New Roman" w:hAnsi="Times New Roman"/>
              </w:rPr>
              <w:t>。</w:t>
            </w:r>
          </w:p>
          <w:p>
            <w:pPr>
              <w:pStyle w:val="21"/>
              <w:adjustRightInd/>
              <w:snapToGrid/>
              <w:rPr>
                <w:rFonts w:ascii="Times New Roman" w:hAnsi="Times New Roman"/>
              </w:rPr>
            </w:pPr>
            <w:r>
              <w:rPr>
                <w:rFonts w:ascii="Times New Roman" w:hAnsi="Times New Roman"/>
              </w:rPr>
              <w:t>生态恢复与补偿措施主要依靠植被自然恢复的方式进行，重点是防止因工程建设造成的水土流失和风蚀沙化。</w:t>
            </w:r>
          </w:p>
          <w:p>
            <w:pPr>
              <w:adjustRightInd/>
              <w:snapToGrid/>
              <w:ind w:firstLine="480"/>
            </w:pPr>
            <w:r>
              <w:t>（1）井场、道路、施工营地临时占地保护措施要求</w:t>
            </w:r>
          </w:p>
          <w:p>
            <w:pPr>
              <w:adjustRightInd/>
              <w:snapToGrid/>
              <w:ind w:firstLine="480"/>
              <w:rPr>
                <w:rFonts w:ascii="宋体" w:hAnsi="宋体" w:cs="宋体"/>
              </w:rPr>
            </w:pPr>
            <w:r>
              <w:fldChar w:fldCharType="begin"/>
            </w:r>
            <w:r>
              <w:instrText xml:space="preserve"> = 1 \* GB3 \* MERGEFORMAT </w:instrText>
            </w:r>
            <w:r>
              <w:fldChar w:fldCharType="separate"/>
            </w:r>
            <w:r>
              <w:t>①</w:t>
            </w:r>
            <w:r>
              <w:fldChar w:fldCharType="end"/>
            </w:r>
            <w:r>
              <w:rPr>
                <w:rFonts w:ascii="宋体" w:hAnsi="宋体" w:cs="宋体"/>
              </w:rPr>
              <w:t>项目施工前应对工程占用区域可利用的表土进行剥离，单独堆存，加强表土堆存防护及管理，确保有效回用。施工过程中，采取绿色施工工艺，减少地表开挖，合理设计高陡边坡支挡、加固措施，减少对脆弱生态的扰动。</w:t>
            </w:r>
          </w:p>
          <w:p>
            <w:pPr>
              <w:adjustRightInd/>
              <w:snapToGrid/>
              <w:ind w:firstLine="480"/>
            </w:pPr>
            <w:r>
              <w:fldChar w:fldCharType="begin"/>
            </w:r>
            <w:r>
              <w:instrText xml:space="preserve"> = 2 \* GB3 \* MERGEFORMAT </w:instrText>
            </w:r>
            <w:r>
              <w:fldChar w:fldCharType="separate"/>
            </w:r>
            <w:r>
              <w:t>②</w:t>
            </w:r>
            <w:r>
              <w:fldChar w:fldCharType="end"/>
            </w:r>
            <w:r>
              <w:t>临时性占地进行合理规划，严格控制占地面积，尽量选择在植被稀少的区域。</w:t>
            </w:r>
          </w:p>
          <w:p>
            <w:pPr>
              <w:adjustRightInd/>
              <w:snapToGrid/>
              <w:ind w:firstLine="480"/>
            </w:pPr>
            <w:r>
              <w:rPr>
                <w:rFonts w:hint="eastAsia"/>
              </w:rPr>
              <w:t>③</w:t>
            </w:r>
            <w:r>
              <w:t>本项目临时占地期满后，占地单位需对临时占地进行清理，拆除临时建筑物，清除废弃材料，结合地形恢复场地并平整土地，做到工完料净场地清。</w:t>
            </w:r>
          </w:p>
          <w:p>
            <w:pPr>
              <w:pStyle w:val="21"/>
              <w:rPr>
                <w:rFonts w:ascii="Times New Roman" w:hAnsi="Times New Roman"/>
              </w:rPr>
            </w:pPr>
            <w:r>
              <w:rPr>
                <w:rFonts w:ascii="Times New Roman" w:hAnsi="Times New Roman"/>
              </w:rPr>
              <w:t>（2）对荒漠植物、保护植被的生态保护措施要求</w:t>
            </w:r>
          </w:p>
          <w:p>
            <w:pPr>
              <w:pStyle w:val="21"/>
              <w:rPr>
                <w:rFonts w:ascii="宋体" w:hAnsi="宋体" w:cs="宋体"/>
              </w:rPr>
            </w:pPr>
            <w:r>
              <w:rPr>
                <w:rFonts w:ascii="宋体" w:hAnsi="宋体" w:cs="宋体"/>
              </w:rPr>
              <w:t>①避让：</w:t>
            </w:r>
            <w:r>
              <w:rPr>
                <w:rFonts w:hint="eastAsia" w:ascii="宋体" w:hAnsi="宋体" w:cs="宋体"/>
              </w:rPr>
              <w:t>设计选线过程中，避开植被较</w:t>
            </w:r>
            <w:r>
              <w:rPr>
                <w:rFonts w:ascii="Times New Roman" w:hAnsi="Times New Roman"/>
              </w:rPr>
              <w:t>丰富的区域，避免破坏荒漠植物，项目井场、道路在选址选线阶段全部避让自治区Ⅰ级</w:t>
            </w:r>
            <w:r>
              <w:rPr>
                <w:rFonts w:hint="eastAsia" w:ascii="宋体" w:hAnsi="宋体" w:cs="宋体"/>
              </w:rPr>
              <w:t>保护植物（梭梭，白梭梭），不占用、不破坏。</w:t>
            </w:r>
          </w:p>
          <w:p>
            <w:pPr>
              <w:pStyle w:val="21"/>
              <w:rPr>
                <w:rFonts w:ascii="宋体" w:hAnsi="宋体" w:cs="宋体"/>
              </w:rPr>
            </w:pPr>
            <w:r>
              <w:rPr>
                <w:rFonts w:ascii="宋体" w:hAnsi="宋体" w:cs="宋体"/>
              </w:rPr>
              <w:t>②减缓：严格遵守油田环境保护规章制度，严格划定车辆行驶路线及临时道路开拓路线，运输车辆应结合梭梭的分布情况，在限定的路线范围内行使，禁止乱碾乱轧；严格规定各类工作人员的活动范围，使之限于在各工区范围内活动。各固体废物均得到妥善处置，现场禁止遗留任何固体废物，占地清理平整，尽量利用井场及临时道路施工时产生的表层弃土对临时占地进行恢复覆盖，覆盖厚度根据植被恢复类型和场地用途决定。</w:t>
            </w:r>
          </w:p>
          <w:p>
            <w:pPr>
              <w:pStyle w:val="21"/>
              <w:rPr>
                <w:rFonts w:ascii="宋体" w:hAnsi="宋体" w:cs="宋体"/>
              </w:rPr>
            </w:pPr>
            <w:r>
              <w:rPr>
                <w:rFonts w:ascii="宋体" w:hAnsi="宋体" w:cs="宋体"/>
              </w:rPr>
              <w:t>③补偿：本项目施工前，应向当地相关主管部门办理征地手续，按照相关法律法规进行补偿</w:t>
            </w:r>
            <w:r>
              <w:rPr>
                <w:rFonts w:hint="eastAsia" w:ascii="宋体" w:hAnsi="宋体" w:cs="宋体"/>
              </w:rPr>
              <w:t>。</w:t>
            </w:r>
          </w:p>
          <w:p>
            <w:pPr>
              <w:pStyle w:val="21"/>
            </w:pPr>
            <w:r>
              <w:rPr>
                <w:rFonts w:ascii="宋体" w:hAnsi="宋体" w:cs="宋体"/>
              </w:rPr>
              <w:t>④强化风险意识：确保各环保设施正常运行，污水进罐、落地油回收、固体废物</w:t>
            </w:r>
            <w:r>
              <w:rPr>
                <w:rFonts w:hint="eastAsia" w:ascii="宋体" w:hAnsi="宋体" w:cs="宋体"/>
              </w:rPr>
              <w:t>收集</w:t>
            </w:r>
            <w:r>
              <w:rPr>
                <w:rFonts w:ascii="宋体" w:hAnsi="宋体" w:cs="宋体"/>
              </w:rPr>
              <w:t>，避免各种污染物对土壤环境的影响从而进一步影响其上部生长的沙生植被。加强对施工人员和职工的教育，强化保护野生植物的观念，不得随意踩踏野生植物。制定切实可行的风险防范与应急预案，最大限度降低风险概率，避免可能发生的泄漏事故对荒漠野生植物生存环境造成威胁</w:t>
            </w:r>
            <w:r>
              <w:rPr>
                <w:rFonts w:hint="eastAsia" w:ascii="宋体" w:hAnsi="宋体" w:cs="宋体"/>
              </w:rPr>
              <w:t>。</w:t>
            </w:r>
          </w:p>
          <w:p>
            <w:pPr>
              <w:pStyle w:val="21"/>
            </w:pPr>
            <w:r>
              <w:rPr>
                <w:rFonts w:ascii="Times New Roman" w:hAnsi="Times New Roman"/>
              </w:rPr>
              <w:t>（3）对草地植物的保</w:t>
            </w:r>
            <w:r>
              <w:rPr>
                <w:rFonts w:hint="eastAsia"/>
              </w:rPr>
              <w:t>护措施要求</w:t>
            </w:r>
          </w:p>
          <w:p>
            <w:pPr>
              <w:pStyle w:val="21"/>
            </w:pPr>
            <w:r>
              <w:rPr>
                <w:rFonts w:ascii="Times New Roman" w:hAnsi="Times New Roman"/>
              </w:rPr>
              <w:t>①设计选线过程中，避开植被较丰富的区域，避免破坏草地植物，项目井场、道路在选址选线阶段全部避让</w:t>
            </w:r>
            <w:r>
              <w:rPr>
                <w:rFonts w:hint="eastAsia" w:ascii="Times New Roman" w:hAnsi="Times New Roman"/>
              </w:rPr>
              <w:t>新疆地方</w:t>
            </w:r>
            <w:r>
              <w:rPr>
                <w:rFonts w:ascii="Times New Roman" w:hAnsi="Times New Roman"/>
              </w:rPr>
              <w:t>Ⅰ级保护植物（梭梭</w:t>
            </w:r>
            <w:r>
              <w:rPr>
                <w:rFonts w:hint="eastAsia" w:ascii="Times New Roman" w:hAnsi="Times New Roman"/>
              </w:rPr>
              <w:t>、白梭梭</w:t>
            </w:r>
            <w:r>
              <w:rPr>
                <w:rFonts w:ascii="Times New Roman" w:hAnsi="Times New Roman"/>
              </w:rPr>
              <w:t>），不占用、不破坏。</w:t>
            </w:r>
          </w:p>
          <w:p>
            <w:pPr>
              <w:pStyle w:val="21"/>
            </w:pPr>
            <w:r>
              <w:rPr>
                <w:rFonts w:hint="eastAsia"/>
              </w:rPr>
              <w:t>②本项目钻井、施工前，应向当地相关主管部门办理征地手续，按照相关法律法规进行补偿和恢复。</w:t>
            </w:r>
          </w:p>
          <w:p>
            <w:pPr>
              <w:pStyle w:val="21"/>
            </w:pPr>
            <w:r>
              <w:rPr>
                <w:rFonts w:hint="eastAsia"/>
              </w:rPr>
              <w:t>③对油田区域内临时性占地等合理规划，严格控制占地面积。</w:t>
            </w:r>
          </w:p>
          <w:p>
            <w:pPr>
              <w:adjustRightInd/>
              <w:snapToGrid/>
              <w:ind w:firstLine="480"/>
            </w:pPr>
            <w:r>
              <w:rPr>
                <w:rFonts w:hint="eastAsia"/>
              </w:rPr>
              <w:t>④施工结束后，对工程征占范围内的草地植被进行恢复，如播撒草籽。</w:t>
            </w:r>
          </w:p>
          <w:p>
            <w:pPr>
              <w:adjustRightInd/>
              <w:snapToGrid/>
              <w:ind w:firstLine="480"/>
            </w:pPr>
            <w:r>
              <w:t>（</w:t>
            </w:r>
            <w:r>
              <w:rPr>
                <w:rFonts w:hint="eastAsia"/>
              </w:rPr>
              <w:t>4</w:t>
            </w:r>
            <w:r>
              <w:t>）对野生动物的生态环保措施要求</w:t>
            </w:r>
          </w:p>
          <w:p>
            <w:pPr>
              <w:adjustRightInd/>
              <w:snapToGrid/>
              <w:ind w:firstLine="480"/>
            </w:pPr>
            <w:r>
              <w:fldChar w:fldCharType="begin"/>
            </w:r>
            <w:r>
              <w:instrText xml:space="preserve"> = 1 \* GB3 \* MERGEFORMAT </w:instrText>
            </w:r>
            <w:r>
              <w:fldChar w:fldCharType="separate"/>
            </w:r>
            <w:r>
              <w:t>①</w:t>
            </w:r>
            <w:r>
              <w:fldChar w:fldCharType="end"/>
            </w:r>
            <w:r>
              <w:t xml:space="preserve">设计选线过程中，最大限度避免破坏野生动物的活动场所和生存环境。 </w:t>
            </w:r>
          </w:p>
          <w:p>
            <w:pPr>
              <w:adjustRightInd/>
              <w:snapToGrid/>
              <w:ind w:firstLine="480"/>
            </w:pPr>
            <w:r>
              <w:fldChar w:fldCharType="begin"/>
            </w:r>
            <w:r>
              <w:instrText xml:space="preserve"> = 2 \* GB3 \* MERGEFORMAT </w:instrText>
            </w:r>
            <w:r>
              <w:fldChar w:fldCharType="separate"/>
            </w:r>
            <w:r>
              <w:t>②</w:t>
            </w:r>
            <w:r>
              <w:fldChar w:fldCharType="end"/>
            </w:r>
            <w:r>
              <w:t>为了更好的保护野生动物，建设单位在项目实施过程中要严格规定工作人员的活动范围，使之限于在施工作业带范围内活动，尽量不侵扰野生动物的栖息地。</w:t>
            </w:r>
          </w:p>
          <w:p>
            <w:pPr>
              <w:adjustRightInd/>
              <w:snapToGrid/>
              <w:ind w:firstLine="480"/>
            </w:pPr>
            <w:r>
              <w:fldChar w:fldCharType="begin"/>
            </w:r>
            <w:r>
              <w:instrText xml:space="preserve"> = 3 \* GB3 \* MERGEFORMAT </w:instrText>
            </w:r>
            <w:r>
              <w:fldChar w:fldCharType="separate"/>
            </w:r>
            <w:r>
              <w:t>③</w:t>
            </w:r>
            <w:r>
              <w:fldChar w:fldCharType="end"/>
            </w:r>
            <w:r>
              <w:t>对施工人员开展保护野生动物宣传教育工作，强化保护野生动物的观念，禁止施工人员随意惊吓、捕猎、宰杀野生动物。设置“保护野生动植物”等警示牌。</w:t>
            </w:r>
          </w:p>
          <w:p>
            <w:pPr>
              <w:adjustRightInd/>
              <w:snapToGrid/>
              <w:ind w:firstLine="480"/>
            </w:pPr>
            <w:r>
              <w:fldChar w:fldCharType="begin"/>
            </w:r>
            <w:r>
              <w:instrText xml:space="preserve"> = 4 \* GB3 \* MERGEFORMAT </w:instrText>
            </w:r>
            <w:r>
              <w:fldChar w:fldCharType="separate"/>
            </w:r>
            <w:r>
              <w:t>④</w:t>
            </w:r>
            <w:r>
              <w:fldChar w:fldCharType="end"/>
            </w:r>
            <w:r>
              <w:t>加强管理，确保各生产设施的正常运行，避免强噪声环境的出现，避免对野生动物的惊扰。</w:t>
            </w:r>
          </w:p>
          <w:p>
            <w:pPr>
              <w:pStyle w:val="19"/>
            </w:pPr>
            <w:r>
              <w:t>6.2</w:t>
            </w:r>
            <w:r>
              <w:rPr>
                <w:rFonts w:hint="eastAsia"/>
              </w:rPr>
              <w:t xml:space="preserve"> </w:t>
            </w:r>
            <w:r>
              <w:t>生态恢复方案</w:t>
            </w:r>
          </w:p>
          <w:p>
            <w:pPr>
              <w:pStyle w:val="23"/>
              <w:ind w:firstLine="480" w:firstLineChars="200"/>
              <w:rPr>
                <w:b w:val="0"/>
                <w:sz w:val="24"/>
              </w:rPr>
            </w:pPr>
            <w:r>
              <w:rPr>
                <w:b w:val="0"/>
                <w:sz w:val="24"/>
              </w:rPr>
              <w:t>根据《矿山生态环境保护与恢复治理技术规范(试行)》(HJ651-2013)</w:t>
            </w:r>
            <w:r>
              <w:rPr>
                <w:rFonts w:hint="eastAsia"/>
                <w:b w:val="0"/>
                <w:sz w:val="24"/>
              </w:rPr>
              <w:t>和</w:t>
            </w:r>
            <w:r>
              <w:rPr>
                <w:b w:val="0"/>
                <w:sz w:val="24"/>
              </w:rPr>
              <w:t>《陆上石油天然气开采业绿色矿山建设规范》（DZ/T0317-2018）</w:t>
            </w:r>
            <w:r>
              <w:rPr>
                <w:rFonts w:hint="eastAsia"/>
                <w:b w:val="0"/>
                <w:sz w:val="24"/>
              </w:rPr>
              <w:t>中的要求，</w:t>
            </w:r>
            <w:r>
              <w:rPr>
                <w:b w:val="0"/>
                <w:sz w:val="24"/>
              </w:rPr>
              <w:t>所有施工范围需进行生态环境保护与</w:t>
            </w:r>
            <w:r>
              <w:rPr>
                <w:rFonts w:hint="eastAsia"/>
                <w:b w:val="0"/>
                <w:sz w:val="24"/>
              </w:rPr>
              <w:t>恢复</w:t>
            </w:r>
            <w:r>
              <w:rPr>
                <w:b w:val="0"/>
                <w:sz w:val="24"/>
              </w:rPr>
              <w:t>治理</w:t>
            </w:r>
            <w:r>
              <w:rPr>
                <w:rFonts w:hint="eastAsia"/>
                <w:b w:val="0"/>
                <w:sz w:val="24"/>
              </w:rPr>
              <w:t>，因此提出如下生态恢复措施。</w:t>
            </w:r>
          </w:p>
          <w:p>
            <w:pPr>
              <w:pStyle w:val="23"/>
              <w:ind w:firstLine="480" w:firstLineChars="200"/>
              <w:rPr>
                <w:b w:val="0"/>
                <w:sz w:val="24"/>
              </w:rPr>
            </w:pPr>
            <w:r>
              <w:rPr>
                <w:b w:val="0"/>
                <w:sz w:val="24"/>
              </w:rPr>
              <w:t>（1）井场生态恢复措施</w:t>
            </w:r>
          </w:p>
          <w:p>
            <w:pPr>
              <w:ind w:firstLine="480"/>
            </w:pPr>
            <w:r>
              <w:rPr>
                <w:szCs w:val="21"/>
              </w:rPr>
              <w:t>试油结束后视试油结果决定是否转为生产井，若转为生产井，则应当在产能开发建设前开展其环境影响评价工作</w:t>
            </w:r>
            <w:r>
              <w:rPr>
                <w:rFonts w:hint="eastAsia"/>
                <w:szCs w:val="21"/>
              </w:rPr>
              <w:t>，井口安装采油树；若</w:t>
            </w:r>
            <w:r>
              <w:rPr>
                <w:szCs w:val="21"/>
              </w:rPr>
              <w:t>不具开发价值，</w:t>
            </w:r>
            <w:r>
              <w:rPr>
                <w:rFonts w:hint="eastAsia"/>
                <w:szCs w:val="21"/>
              </w:rPr>
              <w:t>井口</w:t>
            </w:r>
            <w:r>
              <w:rPr>
                <w:szCs w:val="21"/>
              </w:rPr>
              <w:t>进行封井</w:t>
            </w:r>
            <w:r>
              <w:rPr>
                <w:rFonts w:hint="eastAsia"/>
                <w:szCs w:val="21"/>
              </w:rPr>
              <w:t>，</w:t>
            </w:r>
            <w:r>
              <w:rPr>
                <w:bCs/>
                <w:kern w:val="0"/>
              </w:rPr>
              <w:t>对项目区域不再使用的各项临时建（构）筑物和基础设施应全部拆除，</w:t>
            </w:r>
            <w:r>
              <w:t>对井场临时占地进行平整，恢复原有地貌。充分利用前期已收集的弃土覆盖于井场表层，覆盖厚度根据植被类型和场地用途确定。对于恢复状态不好且易发生沙化的地段，根据实际情况对地表进行人工固沙处理。在植被恢复用地上，进行人工播撒适量抗旱耐碱的植物种子。</w:t>
            </w:r>
            <w:r>
              <w:rPr>
                <w:spacing w:val="4"/>
              </w:rPr>
              <w:t>减少植被破坏，减缓水土流失，抵制沙漠化发展将起到一定的积极作用。</w:t>
            </w:r>
          </w:p>
          <w:p>
            <w:pPr>
              <w:adjustRightInd/>
              <w:snapToGrid/>
              <w:ind w:firstLine="480"/>
              <w:rPr>
                <w:szCs w:val="22"/>
              </w:rPr>
            </w:pPr>
            <w:r>
              <w:rPr>
                <w:szCs w:val="22"/>
              </w:rPr>
              <w:t>（2）道路</w:t>
            </w:r>
            <w:r>
              <w:rPr>
                <w:rFonts w:hint="eastAsia"/>
                <w:szCs w:val="22"/>
              </w:rPr>
              <w:t>及生活营地</w:t>
            </w:r>
            <w:r>
              <w:rPr>
                <w:szCs w:val="22"/>
              </w:rPr>
              <w:t>生态恢复措施</w:t>
            </w:r>
          </w:p>
          <w:p>
            <w:pPr>
              <w:adjustRightInd/>
              <w:snapToGrid/>
              <w:ind w:firstLine="480"/>
            </w:pPr>
            <w:r>
              <w:t>本项目工程结束后，</w:t>
            </w:r>
            <w:r>
              <w:rPr>
                <w:szCs w:val="21"/>
              </w:rPr>
              <w:t>若转为生产井，</w:t>
            </w:r>
            <w:r>
              <w:rPr>
                <w:rFonts w:hint="eastAsia"/>
                <w:szCs w:val="21"/>
              </w:rPr>
              <w:t>临时道路保留，</w:t>
            </w:r>
            <w:r>
              <w:rPr>
                <w:rFonts w:hint="eastAsia"/>
              </w:rPr>
              <w:t>生活营地占地进行清理平整，恢复原有地貌</w:t>
            </w:r>
            <w:r>
              <w:rPr>
                <w:rFonts w:hint="eastAsia"/>
                <w:szCs w:val="21"/>
              </w:rPr>
              <w:t>；若</w:t>
            </w:r>
            <w:r>
              <w:rPr>
                <w:szCs w:val="21"/>
              </w:rPr>
              <w:t>不具开发价值，</w:t>
            </w:r>
            <w:r>
              <w:rPr>
                <w:rFonts w:hint="eastAsia"/>
              </w:rPr>
              <w:t>对临时道路和生活营地占地进行清理平整，恢复原有地貌</w:t>
            </w:r>
            <w:r>
              <w:rPr>
                <w:rFonts w:hint="eastAsia"/>
                <w:kern w:val="0"/>
              </w:rPr>
              <w:t>。</w:t>
            </w:r>
          </w:p>
          <w:p>
            <w:pPr>
              <w:pStyle w:val="19"/>
            </w:pPr>
            <w:r>
              <w:rPr>
                <w:rFonts w:hint="eastAsia"/>
              </w:rPr>
              <w:t>6.3 防沙治沙措施</w:t>
            </w:r>
          </w:p>
          <w:p>
            <w:pPr>
              <w:ind w:firstLine="480"/>
            </w:pPr>
            <w:r>
              <w:rPr>
                <w:rFonts w:hint="eastAsia"/>
              </w:rPr>
              <w:t>本次评价要求建设单位严格按照《中华人民共和国防沙治沙法》（2018）及《关于加强沙区建设项目环境影响评价工作的通知》（新环环评发〔2020〕138 号）中有关规定，执行以下井场防沙治沙措施：</w:t>
            </w:r>
          </w:p>
          <w:p>
            <w:pPr>
              <w:ind w:firstLine="480"/>
            </w:pPr>
            <w:r>
              <w:t>①严禁在戈壁滩和荒漠结皮地段随意踩踏、占用，破坏地表植被和稳定的结皮层。施工结束后，对施工场地及时进行清理、平整，减少沙物质来源。</w:t>
            </w:r>
          </w:p>
          <w:p>
            <w:pPr>
              <w:ind w:firstLine="480"/>
            </w:pPr>
            <w:r>
              <w:rPr>
                <w:rFonts w:hint="eastAsia"/>
              </w:rPr>
              <w:t>②</w:t>
            </w:r>
            <w:r>
              <w:t>为保护土地资源，在施工前，对井场和道路所处位置进行表土剥离，剥离的表土作为后期生态恢复；在井场周边修筑地边梗；钻井作业结束后，将井场进行平整，并覆土压实覆盖一层砾石（6cm），防止风蚀现象发生。禁止随意剥离工程占地以外的剥离砾石。</w:t>
            </w:r>
          </w:p>
          <w:p>
            <w:pPr>
              <w:widowControl/>
              <w:ind w:firstLine="480"/>
              <w:jc w:val="left"/>
            </w:pPr>
            <w:r>
              <w:t>③植物措施：项目采油井口及井场、道路在选址选线阶段尽量选择在植被稀少或荒漠的区域布点，不占用、不破坏。采取少占地、少破坏植被的原则，缩小施工范围；工程施工结束后采取自然恢复的方式对区域植被进行恢复。</w:t>
            </w:r>
          </w:p>
          <w:p>
            <w:pPr>
              <w:widowControl/>
              <w:ind w:firstLine="480"/>
              <w:jc w:val="left"/>
            </w:pPr>
            <w:r>
              <w:t>④工程项目所在地采取风沙防护工程，治理结束后，恢复期应在充分利用既有防沙治沙措施的基础上，进一步采取机械治沙和生物治沙等综合整治措施，控制土地沙漠化的扩展。</w:t>
            </w:r>
          </w:p>
          <w:p>
            <w:pPr>
              <w:pStyle w:val="19"/>
            </w:pPr>
            <w:r>
              <w:rPr>
                <w:rFonts w:hint="eastAsia"/>
              </w:rPr>
              <w:t>6.4 水土流失防治措施</w:t>
            </w:r>
          </w:p>
          <w:p>
            <w:pPr>
              <w:pStyle w:val="19"/>
              <w:ind w:firstLine="480" w:firstLineChars="200"/>
              <w:rPr>
                <w:b w:val="0"/>
                <w:bCs/>
              </w:rPr>
            </w:pPr>
            <w:r>
              <w:rPr>
                <w:b w:val="0"/>
                <w:bCs/>
              </w:rPr>
              <w:t>①施工中严格按照施工占地要求，划定适宜的堆料场。井场平整、道路修建、等作业避免在大风天施工</w:t>
            </w:r>
            <w:r>
              <w:rPr>
                <w:rFonts w:hint="eastAsia"/>
                <w:b w:val="0"/>
                <w:bCs/>
              </w:rPr>
              <w:t>；</w:t>
            </w:r>
          </w:p>
          <w:p>
            <w:pPr>
              <w:pStyle w:val="19"/>
              <w:ind w:firstLine="480" w:firstLineChars="200"/>
              <w:rPr>
                <w:b w:val="0"/>
                <w:bCs/>
              </w:rPr>
            </w:pPr>
            <w:r>
              <w:rPr>
                <w:b w:val="0"/>
                <w:bCs/>
              </w:rPr>
              <w:t>②道路施工时，划定施工活动范围，严格控制和管理车辆及重型机械的运行范围</w:t>
            </w:r>
            <w:r>
              <w:rPr>
                <w:rFonts w:hint="eastAsia"/>
                <w:b w:val="0"/>
                <w:bCs/>
              </w:rPr>
              <w:t>，所有车辆采用“一”字形作业法，避免并行开辟新路，以减少风蚀沙化活动的范围；施工车辆不得随意驶离便道</w:t>
            </w:r>
            <w:r>
              <w:rPr>
                <w:rFonts w:hint="eastAsia"/>
                <w:b w:val="0"/>
                <w:bCs/>
                <w:lang w:eastAsia="zh-CN"/>
              </w:rPr>
              <w:t>；</w:t>
            </w:r>
            <w:bookmarkStart w:id="68" w:name="_GoBack"/>
            <w:bookmarkEnd w:id="68"/>
          </w:p>
          <w:p>
            <w:pPr>
              <w:pStyle w:val="19"/>
              <w:ind w:firstLine="480" w:firstLineChars="200"/>
              <w:rPr>
                <w:b w:val="0"/>
                <w:bCs/>
              </w:rPr>
            </w:pPr>
            <w:r>
              <w:rPr>
                <w:b w:val="0"/>
                <w:bCs/>
              </w:rPr>
              <w:t>③施工作业区要定期采取洒水措施，洒水要按照少量多次的原则进行，避免作业场地面大量积水，风季增加洒水频率</w:t>
            </w:r>
            <w:r>
              <w:rPr>
                <w:rFonts w:hint="eastAsia"/>
                <w:b w:val="0"/>
                <w:bCs/>
              </w:rPr>
              <w:t>；</w:t>
            </w:r>
          </w:p>
          <w:p>
            <w:pPr>
              <w:pStyle w:val="19"/>
              <w:ind w:firstLine="480" w:firstLineChars="200"/>
              <w:rPr>
                <w:b w:val="0"/>
                <w:bCs/>
              </w:rPr>
            </w:pPr>
            <w:r>
              <w:rPr>
                <w:b w:val="0"/>
                <w:bCs/>
              </w:rPr>
              <w:t>④施工后期，及时做好施工后期的迹地恢复工作，包括土地平整，创造局部小环境以利于植被的恢复等</w:t>
            </w:r>
            <w:r>
              <w:rPr>
                <w:rFonts w:hint="eastAsia"/>
                <w:b w:val="0"/>
                <w:bCs/>
              </w:rPr>
              <w:t>；</w:t>
            </w:r>
          </w:p>
          <w:p>
            <w:pPr>
              <w:pStyle w:val="19"/>
              <w:ind w:firstLine="480" w:firstLineChars="200"/>
              <w:rPr>
                <w:b w:val="0"/>
                <w:bCs/>
              </w:rPr>
            </w:pPr>
            <w:r>
              <w:rPr>
                <w:b w:val="0"/>
                <w:bCs/>
              </w:rPr>
              <w:t>⑤本工程应严格遵守国家和地方有关动植物保护和防治水土流失等环境保护法律法规，最大限度的减少占地产生的不利影响，减少对土壤的扰动、植被破坏和减少水土流失</w:t>
            </w:r>
            <w:r>
              <w:rPr>
                <w:rFonts w:hint="eastAsia"/>
                <w:b w:val="0"/>
                <w:bCs/>
              </w:rPr>
              <w:t>。</w:t>
            </w:r>
          </w:p>
          <w:p>
            <w:pPr>
              <w:pStyle w:val="19"/>
              <w:ind w:firstLine="480" w:firstLineChars="200"/>
            </w:pPr>
            <w:r>
              <w:rPr>
                <w:b w:val="0"/>
                <w:bCs/>
              </w:rPr>
              <w:t>采取上述措施，对防止风沙流动、促进生态环境的恢复会起到良好作用，可将水土流失的程度降低到最小限度。</w:t>
            </w:r>
          </w:p>
          <w:p>
            <w:pPr>
              <w:pStyle w:val="18"/>
            </w:pPr>
            <w:r>
              <w:t>7 环境风险防范措施</w:t>
            </w:r>
          </w:p>
          <w:p>
            <w:pPr>
              <w:pStyle w:val="19"/>
            </w:pPr>
            <w:r>
              <w:t>7.1</w:t>
            </w:r>
            <w:r>
              <w:rPr>
                <w:rFonts w:hint="eastAsia"/>
              </w:rPr>
              <w:t xml:space="preserve"> </w:t>
            </w:r>
            <w:r>
              <w:t>环境风险防范措施</w:t>
            </w:r>
          </w:p>
          <w:p>
            <w:pPr>
              <w:ind w:firstLine="480"/>
            </w:pPr>
            <w:r>
              <w:t>本项目应在预防措施上严格执行各类管理制度。主要措施是安装防喷器和井控装置（简易封井器等），使用清洁无害的水基钻井液，严格控制使用有毒有害钻井液及化学处理剂，同时严格要求套管下入深度、确保固井质量等措施，最大限度地降低井喷、井漏及油水窜层事故的发生。</w:t>
            </w:r>
          </w:p>
          <w:p>
            <w:pPr>
              <w:ind w:firstLine="480"/>
            </w:pPr>
            <w:r>
              <w:t>（1）钻井作业事故防范措施</w:t>
            </w:r>
          </w:p>
          <w:p>
            <w:pPr>
              <w:ind w:firstLine="480"/>
            </w:pPr>
            <w:r>
              <w:t>①安装防喷器前认真检查闸板心子尺寸是否与使用钻杆尺寸相符，液控系统功能是否齐全、可靠，液控管线有无刺漏现象。</w:t>
            </w:r>
          </w:p>
          <w:p>
            <w:pPr>
              <w:ind w:firstLine="480"/>
            </w:pPr>
            <w:r>
              <w:t>②防喷器顶部安装防溢管时用螺栓连接，不用的螺孔用丝堵住。防溢管与防喷器的连接密封可用金属密封垫环或专用橡胶圈。防溢管处应装挡泥伞，保证防喷器组及四通各闸阀清洁、无钻井液。</w:t>
            </w:r>
          </w:p>
          <w:p>
            <w:pPr>
              <w:ind w:firstLine="480"/>
            </w:pPr>
            <w:r>
              <w:t>③远程控制台安装在面对井架大门左侧、距井口不少于25m的专用活动房内，距放喷管线或压井管线有2m以上距离，周围留有宽度不少于2m的人行通道，周围10m内不得堆放易燃、易爆、腐蚀物品。</w:t>
            </w:r>
          </w:p>
          <w:p>
            <w:pPr>
              <w:ind w:firstLine="480"/>
            </w:pPr>
            <w:r>
              <w:t>④放喷管线接出井口15m以外，一般情况下管线应平直并向井场两侧或后场引出，转弯处应使用角度大于120°的铸（锻）钢弯头或具有缓冲垫的标准两通；若用钻杆，其公扣朝外；管线每隔9～11m、转弯处（前后基墩固定）、出口处用基墩或地锚固定牢靠；放喷管线出口处使用双基墩固定，距出口端不超过1.5m。辅助放喷管线执行主放喷管线标准。</w:t>
            </w:r>
          </w:p>
          <w:p>
            <w:pPr>
              <w:ind w:firstLine="480"/>
            </w:pPr>
            <w:r>
              <w:t>⑤井控设备安装好后，按要求试压。</w:t>
            </w:r>
          </w:p>
          <w:p>
            <w:pPr>
              <w:ind w:firstLine="480"/>
            </w:pPr>
            <w:r>
              <w:t>⑥作业班应按钻进、起下钻杆、起下钻铤和空井发生溢流四种工况，按“逢五逢十”进行防喷演习，防喷演习遵循“以司钻为中心，班自为战，从实战出发”的原则。</w:t>
            </w:r>
          </w:p>
          <w:p>
            <w:pPr>
              <w:ind w:firstLine="480"/>
            </w:pPr>
            <w:r>
              <w:t>⑦钻进作业和空井状态应在2min、提下钻杆应在4min、提下钻铤（加重钻杆）应在5min内控制住井口。</w:t>
            </w:r>
          </w:p>
          <w:p>
            <w:pPr>
              <w:ind w:firstLine="480"/>
            </w:pPr>
            <w:r>
              <w:t>⑧做好防硫、防喷演习讲评和记录。</w:t>
            </w:r>
          </w:p>
          <w:p>
            <w:pPr>
              <w:ind w:firstLine="480"/>
            </w:pPr>
            <w:r>
              <w:t>⑨全井坐岗。非油、气层每小时测量一次钻井液增、减量。进入油层前50m开始每15min测量一次；提下钻杆每3-5柱（＜15min）测量一次；提下钻铤每15min测量一次。</w:t>
            </w:r>
          </w:p>
          <w:p>
            <w:pPr>
              <w:ind w:firstLine="480"/>
            </w:pPr>
            <w:r>
              <w:t>⑩在井口安装防喷器和控制装置，杜绝井喷的发生。预留应急放喷池位置。发生井喷时，立即启动井控装置和防止井喷的应急预案。</w:t>
            </w:r>
          </w:p>
          <w:p>
            <w:pPr>
              <w:ind w:firstLine="480"/>
            </w:pPr>
            <w:r>
              <w:t>⑪井控操作实行持证上岗，各岗位的钻井人员有明确的分工，并且应经过井控专业培训。</w:t>
            </w:r>
          </w:p>
          <w:p>
            <w:pPr>
              <w:ind w:firstLine="480"/>
            </w:pPr>
            <w:r>
              <w:t>⑫井场设置明显的禁止烟火标志；井场钻井设备及电器设备、照明灯具符合防火防爆的安全要求，井场安装探照灯，以备井喷时钻台照明。</w:t>
            </w:r>
          </w:p>
          <w:p>
            <w:pPr>
              <w:ind w:firstLine="480"/>
            </w:pPr>
            <w:r>
              <w:t>⑬在井架、井场路口等处设风向标，发生事故时人员迅速向上风向疏散。</w:t>
            </w:r>
          </w:p>
          <w:p>
            <w:pPr>
              <w:ind w:firstLine="480"/>
            </w:pPr>
            <w:r>
              <w:t>⑭按消防规定配备灭火器、消防铁锹和其它消防器材。</w:t>
            </w:r>
          </w:p>
          <w:p>
            <w:pPr>
              <w:ind w:firstLine="480"/>
            </w:pPr>
            <w:r>
              <w:t>⑮事故应急救援预案。</w:t>
            </w:r>
          </w:p>
          <w:p>
            <w:pPr>
              <w:ind w:firstLine="480"/>
            </w:pPr>
            <w:r>
              <w:t>⑯使用清洁无害的水基钻井液，严格控制使用有毒有害钻井液及化学处理剂。</w:t>
            </w:r>
          </w:p>
          <w:p>
            <w:pPr>
              <w:ind w:firstLine="480"/>
            </w:pPr>
            <w:r>
              <w:t>⑰严格要求套管下入深度、确保固井质量等措施。</w:t>
            </w:r>
          </w:p>
          <w:p>
            <w:pPr>
              <w:numPr>
                <w:ilvl w:val="0"/>
                <w:numId w:val="3"/>
              </w:numPr>
              <w:ind w:firstLine="480"/>
              <w:jc w:val="left"/>
            </w:pPr>
            <w:r>
              <w:t>（</w:t>
            </w:r>
            <w:r>
              <w:rPr>
                <w:rFonts w:hint="eastAsia"/>
              </w:rPr>
              <w:t>2</w:t>
            </w:r>
            <w:r>
              <w:t>）硫化氢防范措施</w:t>
            </w:r>
          </w:p>
          <w:p>
            <w:pPr>
              <w:numPr>
                <w:ilvl w:val="0"/>
                <w:numId w:val="3"/>
              </w:numPr>
              <w:ind w:firstLine="480"/>
              <w:jc w:val="left"/>
            </w:pPr>
            <w:r>
              <w:t>应做好硫化氢监测和防范工作。施工井队</w:t>
            </w:r>
            <w:r>
              <w:rPr>
                <w:rFonts w:hint="eastAsia"/>
              </w:rPr>
              <w:t>应配至少3套的</w:t>
            </w:r>
            <w:r>
              <w:t>便携式硫化氢监测仪，做好硫化氢检测工作，制定防硫化氢应急预案。在井场大门口、钻台、振动筛、坐岗房、防喷器液控房等五处设立风向标（风袋、风飘带、风旗或其它适用的装置），并在不同方向上划定两个紧急集合点，一旦发生紧急情况，作业人员可向上风方向疏散。当监测到硫化氢浓度大于15mg/m</w:t>
            </w:r>
            <w:r>
              <w:rPr>
                <w:vertAlign w:val="superscript"/>
              </w:rPr>
              <w:t>3</w:t>
            </w:r>
            <w:r>
              <w:t>（10ppm）时，立即按照含硫油气井作业规定配置硫化氢监测仪、正压式呼吸器等设施，按照《含硫化氢油气井安全钻井推荐作法》（SY/T5087-2005）标准规定执行。</w:t>
            </w:r>
          </w:p>
          <w:p>
            <w:pPr>
              <w:numPr>
                <w:ilvl w:val="0"/>
                <w:numId w:val="3"/>
              </w:numPr>
              <w:ind w:firstLine="480"/>
              <w:jc w:val="left"/>
            </w:pPr>
            <w:r>
              <w:t>（</w:t>
            </w:r>
            <w:r>
              <w:rPr>
                <w:rFonts w:hint="eastAsia"/>
              </w:rPr>
              <w:t>3</w:t>
            </w:r>
            <w:r>
              <w:t>）钻井套管破损、泄漏事故风险防范措施</w:t>
            </w:r>
          </w:p>
          <w:p>
            <w:pPr>
              <w:numPr>
                <w:ilvl w:val="0"/>
                <w:numId w:val="3"/>
              </w:numPr>
              <w:ind w:firstLine="480"/>
              <w:jc w:val="left"/>
            </w:pPr>
            <w:r>
              <w:t>①钻井、固井、完井等作业严格执行各项安全操作规程，确保施工质量，防漏、防窜。</w:t>
            </w:r>
          </w:p>
          <w:p>
            <w:pPr>
              <w:numPr>
                <w:ilvl w:val="0"/>
                <w:numId w:val="3"/>
              </w:numPr>
              <w:ind w:firstLine="480"/>
              <w:jc w:val="left"/>
            </w:pPr>
            <w:r>
              <w:t>②压裂施工作业前应将高低压管汇连接牢固，施工时应该严格控制不能超过设备额定压力；操作人员要密切注意设备运行状况，发现管件破裂刺漏等问题及时处理；作业现场应配备消防设备，以备应急救援。</w:t>
            </w:r>
          </w:p>
          <w:p>
            <w:pPr>
              <w:numPr>
                <w:ilvl w:val="0"/>
                <w:numId w:val="3"/>
              </w:numPr>
              <w:ind w:firstLine="480"/>
              <w:jc w:val="left"/>
            </w:pPr>
            <w:r>
              <w:t>③压裂作业应按照设计要求均匀加砂，严禁中途停泵；冲砂管柱下放速度不宜过快，排量不能太小；更换油管速度要快并要防止井中落物。</w:t>
            </w:r>
          </w:p>
          <w:p>
            <w:pPr>
              <w:numPr>
                <w:ilvl w:val="0"/>
                <w:numId w:val="3"/>
              </w:numPr>
              <w:ind w:firstLine="480"/>
              <w:jc w:val="left"/>
            </w:pPr>
            <w:r>
              <w:t>④工程施工、监理单位需具备相应资质，加强对施工现场的安全组织管理和监督</w:t>
            </w:r>
          </w:p>
          <w:p>
            <w:pPr>
              <w:numPr>
                <w:ilvl w:val="0"/>
                <w:numId w:val="3"/>
              </w:numPr>
              <w:ind w:firstLine="480"/>
              <w:jc w:val="left"/>
            </w:pPr>
            <w:r>
              <w:t>⑤建立、健全各项安全管理制度以及配套的工艺、设备安全操作规程，并严格执行。</w:t>
            </w:r>
          </w:p>
          <w:p>
            <w:pPr>
              <w:numPr>
                <w:ilvl w:val="0"/>
                <w:numId w:val="3"/>
              </w:numPr>
              <w:ind w:firstLine="480"/>
              <w:jc w:val="left"/>
            </w:pPr>
            <w:bookmarkStart w:id="54" w:name="_Hlk43201966"/>
            <w:r>
              <w:t>（</w:t>
            </w:r>
            <w:r>
              <w:rPr>
                <w:rFonts w:hint="eastAsia"/>
              </w:rPr>
              <w:t>4</w:t>
            </w:r>
            <w:r>
              <w:t>）储罐环境风险防范措施</w:t>
            </w:r>
          </w:p>
          <w:p>
            <w:pPr>
              <w:numPr>
                <w:ilvl w:val="0"/>
                <w:numId w:val="3"/>
              </w:numPr>
              <w:ind w:firstLine="480"/>
              <w:jc w:val="left"/>
            </w:pPr>
            <w:r>
              <w:t>柴油、采出液等罐区周边设置警示标识，严禁烟火和不相关人员靠近。日常加强油罐的管理及安全检查，防止发生泄漏等安全事故。为尽量避免管线破裂事故的发生，减轻泄漏事故对环境的影响，应该采取以下安全环保措施：</w:t>
            </w:r>
          </w:p>
          <w:p>
            <w:pPr>
              <w:numPr>
                <w:ilvl w:val="0"/>
                <w:numId w:val="3"/>
              </w:numPr>
              <w:ind w:firstLine="480"/>
              <w:jc w:val="left"/>
            </w:pPr>
            <w:r>
              <w:t>①地上储罐建立围堰，发现问题及时处理。</w:t>
            </w:r>
          </w:p>
          <w:p>
            <w:pPr>
              <w:numPr>
                <w:ilvl w:val="0"/>
                <w:numId w:val="3"/>
              </w:numPr>
              <w:ind w:firstLine="480"/>
              <w:jc w:val="left"/>
            </w:pPr>
            <w:r>
              <w:t>②加强防腐措施。金属腐蚀的本质在于金属原子在腐蚀介质的作用下，失去电子变成离子而转移到腐蚀介质中，导致金属发生破坏。本项目采用良好的绝缘涂层隔断金属表面与腐蚀介质的接触，阻止电子从金属表面流动腐蚀介质中，使金属免遭腐蚀。</w:t>
            </w:r>
          </w:p>
          <w:p>
            <w:pPr>
              <w:numPr>
                <w:ilvl w:val="0"/>
                <w:numId w:val="3"/>
              </w:numPr>
              <w:ind w:firstLine="480"/>
              <w:jc w:val="left"/>
            </w:pPr>
            <w:r>
              <w:t>③根据埋地管线所处的不同环境，采用相应的涂层防腐体系。</w:t>
            </w:r>
          </w:p>
          <w:p>
            <w:pPr>
              <w:numPr>
                <w:ilvl w:val="0"/>
                <w:numId w:val="3"/>
              </w:numPr>
              <w:ind w:firstLine="480"/>
              <w:jc w:val="left"/>
            </w:pPr>
            <w:r>
              <w:t>④建议建立防腐监测系统，随时监测介质的腐蚀状况，了解和掌握区域系统的腐蚀原因，有针对性地制定、调整和优化腐蚀控制措施。</w:t>
            </w:r>
          </w:p>
          <w:bookmarkEnd w:id="54"/>
          <w:p>
            <w:pPr>
              <w:ind w:firstLine="480"/>
            </w:pPr>
            <w:r>
              <w:t>根据项目的生产特点，制定相应的应急预案，由项目主要负责人按照应急预案中的要求定期组织职工学习并进行演习。</w:t>
            </w:r>
          </w:p>
          <w:p>
            <w:pPr>
              <w:pStyle w:val="23"/>
              <w:ind w:firstLine="480" w:firstLineChars="200"/>
              <w:rPr>
                <w:b w:val="0"/>
                <w:sz w:val="24"/>
              </w:rPr>
            </w:pPr>
            <w:r>
              <w:rPr>
                <w:b w:val="0"/>
                <w:sz w:val="24"/>
              </w:rPr>
              <w:t>（</w:t>
            </w:r>
            <w:r>
              <w:rPr>
                <w:rFonts w:hint="eastAsia"/>
                <w:b w:val="0"/>
                <w:sz w:val="24"/>
              </w:rPr>
              <w:t>5</w:t>
            </w:r>
            <w:r>
              <w:rPr>
                <w:b w:val="0"/>
                <w:sz w:val="24"/>
              </w:rPr>
              <w:t>）罐车运输过程风险防范措施</w:t>
            </w:r>
          </w:p>
          <w:p>
            <w:pPr>
              <w:pStyle w:val="23"/>
              <w:ind w:firstLine="480" w:firstLineChars="200"/>
              <w:rPr>
                <w:b w:val="0"/>
                <w:sz w:val="24"/>
              </w:rPr>
            </w:pPr>
            <w:r>
              <w:rPr>
                <w:b w:val="0"/>
                <w:sz w:val="24"/>
              </w:rPr>
              <w:t>①罐车必须符合《压力容器安全技术监察规程》的安全管理规定，企业对压力容器管理执行国家有关锅炉压力容器的规定。</w:t>
            </w:r>
          </w:p>
          <w:p>
            <w:pPr>
              <w:pStyle w:val="23"/>
              <w:ind w:firstLine="480" w:firstLineChars="200"/>
              <w:rPr>
                <w:b w:val="0"/>
                <w:sz w:val="24"/>
              </w:rPr>
            </w:pPr>
            <w:r>
              <w:rPr>
                <w:b w:val="0"/>
                <w:sz w:val="24"/>
              </w:rPr>
              <w:t>②认真执行罐车巡检、回检以及维护、修理管理办法，保持罐车完整性。</w:t>
            </w:r>
          </w:p>
          <w:p>
            <w:pPr>
              <w:pStyle w:val="23"/>
              <w:ind w:firstLine="480" w:firstLineChars="200"/>
              <w:rPr>
                <w:b w:val="0"/>
                <w:sz w:val="24"/>
              </w:rPr>
            </w:pPr>
            <w:r>
              <w:rPr>
                <w:b w:val="0"/>
                <w:sz w:val="24"/>
              </w:rPr>
              <w:t>③配备具有危险货物运输资质和经验的驾驶员和押运员，严格执行特车公司反“违章指挥、违章操作、违反劳动纪律的行为”管理规定，并使用GPS监控车辆动态。</w:t>
            </w:r>
          </w:p>
          <w:p>
            <w:pPr>
              <w:pStyle w:val="23"/>
              <w:ind w:firstLine="480" w:firstLineChars="200"/>
              <w:rPr>
                <w:b w:val="0"/>
                <w:sz w:val="24"/>
              </w:rPr>
            </w:pPr>
            <w:r>
              <w:rPr>
                <w:b w:val="0"/>
                <w:sz w:val="24"/>
              </w:rPr>
              <w:t>④出车前必须对车辆的安全技术状况进行认真检查，杜绝跑、冒、滴、漏，故障未处置好不得承运。</w:t>
            </w:r>
          </w:p>
          <w:p>
            <w:pPr>
              <w:pStyle w:val="23"/>
              <w:ind w:firstLine="480" w:firstLineChars="200"/>
              <w:rPr>
                <w:b w:val="0"/>
                <w:sz w:val="24"/>
              </w:rPr>
            </w:pPr>
            <w:r>
              <w:rPr>
                <w:b w:val="0"/>
                <w:sz w:val="24"/>
              </w:rPr>
              <w:t>⑤采出液装卸参照《汽车运输危险货物规则》(JT617-2004)配装表中进行，车辆排气管应安装隔热和熄灭火星装置，并配装符合JT230规定的导静电橡胶拖地带装置。罐体装采出液时，应预留容积不得少于罐体总容量5%的膨胀余量。采出液中的石油类容易污染土地和水源。卸货时尤其要注意。</w:t>
            </w:r>
          </w:p>
          <w:p>
            <w:pPr>
              <w:pStyle w:val="23"/>
              <w:ind w:firstLine="480" w:firstLineChars="200"/>
              <w:rPr>
                <w:b w:val="0"/>
                <w:sz w:val="24"/>
              </w:rPr>
            </w:pPr>
            <w:r>
              <w:rPr>
                <w:b w:val="0"/>
                <w:sz w:val="24"/>
              </w:rPr>
              <w:t>⑥选择好运输路线，避让居民点、水渠等环境敏感目标，防止泄露对环境造成不利影响。</w:t>
            </w:r>
          </w:p>
          <w:p>
            <w:pPr>
              <w:pStyle w:val="23"/>
              <w:ind w:firstLine="480" w:firstLineChars="200"/>
              <w:rPr>
                <w:b w:val="0"/>
                <w:sz w:val="24"/>
              </w:rPr>
            </w:pPr>
            <w:r>
              <w:rPr>
                <w:b w:val="0"/>
                <w:sz w:val="24"/>
              </w:rPr>
              <w:t>⑦行车要遵守交通、消防、治安等法律法规。控制车速，保持与前车安全距离，严禁违法超车，行车途中要勤于检查，当行驶一定时间后要查看车箱底部四周有无泄漏液体，若有原油泄漏，应查找泄漏点，采取相应的应急措施，防止液体继续泄漏，将受到污染的土壤要全部回收，交由有相应危险废物处理资质的单位回收、处置。</w:t>
            </w:r>
          </w:p>
          <w:p>
            <w:pPr>
              <w:pStyle w:val="23"/>
              <w:ind w:firstLine="480" w:firstLineChars="200"/>
              <w:rPr>
                <w:b w:val="0"/>
                <w:sz w:val="24"/>
              </w:rPr>
            </w:pPr>
            <w:r>
              <w:rPr>
                <w:b w:val="0"/>
                <w:sz w:val="24"/>
              </w:rPr>
              <w:t>⑧检查随车配备的消防器材的数量及有效性。运输过程中如发生事故时，驾驶员和押运员应立即向安全生产管理部门、环境保护部门、质检部门报告，并应看护好车辆，共同配合采取一切可能的警示、救援措施。</w:t>
            </w:r>
          </w:p>
          <w:p>
            <w:pPr>
              <w:pStyle w:val="19"/>
            </w:pPr>
            <w:r>
              <w:t>7.2</w:t>
            </w:r>
            <w:r>
              <w:rPr>
                <w:rFonts w:hint="eastAsia"/>
              </w:rPr>
              <w:t xml:space="preserve"> </w:t>
            </w:r>
            <w:r>
              <w:t>环境风险处理措施</w:t>
            </w:r>
          </w:p>
          <w:p>
            <w:pPr>
              <w:numPr>
                <w:ilvl w:val="0"/>
                <w:numId w:val="3"/>
              </w:numPr>
              <w:ind w:firstLine="480"/>
              <w:jc w:val="left"/>
              <w:rPr>
                <w:bCs/>
                <w:spacing w:val="10"/>
                <w:szCs w:val="21"/>
              </w:rPr>
            </w:pPr>
            <w:r>
              <w:t>一旦发生井喷，绝大多数井都能通过防喷器关闭，然后采取压井措施控制井喷；最后还可用向事故井打定位斜井等方法处理井喷。事故处理中要有专人负责，管好电源、火源，以免火灾发生。井喷时，需要对井喷的油泥等污染物进行收集，委托有危废处置资质单位处理。</w:t>
            </w:r>
          </w:p>
          <w:p>
            <w:pPr>
              <w:numPr>
                <w:ilvl w:val="0"/>
                <w:numId w:val="3"/>
              </w:numPr>
              <w:ind w:firstLine="520"/>
              <w:jc w:val="left"/>
              <w:rPr>
                <w:bCs/>
                <w:spacing w:val="10"/>
                <w:szCs w:val="21"/>
              </w:rPr>
            </w:pPr>
          </w:p>
          <w:p>
            <w:pPr>
              <w:numPr>
                <w:ilvl w:val="0"/>
                <w:numId w:val="3"/>
              </w:numPr>
              <w:ind w:firstLine="520"/>
              <w:jc w:val="left"/>
              <w:rPr>
                <w:bCs/>
                <w:spacing w:val="10"/>
                <w:szCs w:val="21"/>
              </w:rPr>
            </w:pPr>
          </w:p>
          <w:p>
            <w:pPr>
              <w:numPr>
                <w:ilvl w:val="0"/>
                <w:numId w:val="3"/>
              </w:numPr>
              <w:ind w:firstLine="520"/>
              <w:jc w:val="left"/>
              <w:rPr>
                <w:bCs/>
                <w:spacing w:val="1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7" w:hRule="atLeast"/>
          <w:jc w:val="center"/>
        </w:trPr>
        <w:tc>
          <w:tcPr>
            <w:tcW w:w="753" w:type="dxa"/>
            <w:tcMar>
              <w:left w:w="28" w:type="dxa"/>
              <w:right w:w="28" w:type="dxa"/>
            </w:tcMar>
            <w:vAlign w:val="center"/>
          </w:tcPr>
          <w:p>
            <w:pPr>
              <w:ind w:firstLine="0" w:firstLineChars="0"/>
              <w:jc w:val="center"/>
              <w:rPr>
                <w:bCs/>
                <w:spacing w:val="10"/>
                <w:szCs w:val="21"/>
              </w:rPr>
            </w:pPr>
            <w:r>
              <w:rPr>
                <w:bCs/>
                <w:spacing w:val="10"/>
                <w:szCs w:val="21"/>
              </w:rPr>
              <w:t>运营期生态环境保护措施</w:t>
            </w:r>
          </w:p>
        </w:tc>
        <w:tc>
          <w:tcPr>
            <w:tcW w:w="8457" w:type="dxa"/>
            <w:vAlign w:val="center"/>
          </w:tcPr>
          <w:p>
            <w:pPr>
              <w:ind w:firstLine="480"/>
            </w:pPr>
            <w:r>
              <w:t>本项目无营运期，试油结束后视试油结果决定是否转为生产井，若可转为生产井，则应当在产能开发建设前开展其环境影响评价工作。如发现该井不具开发价值或目的层不含油，则进行封井。</w:t>
            </w:r>
          </w:p>
          <w:p>
            <w:pPr>
              <w:ind w:firstLine="480"/>
            </w:pPr>
            <w:r>
              <w:t>封井需拆除井口装置，截去地下1m内管头，最后进行场地清理，清除各种固体废弃物，清除井场及临时道路砂砾石铺垫，对井场、进场道路等临时占地进行平整，植被自然恢复。根据《废弃井封井回填集输指南（试行）》中的相关要求，对井口进行封井回填，回填前先摸清废弃井（筒）管现状。回填材料应无污染，不得使用可能对地下水造成污染的材料。回填后，应开展井盖封堵或密闭填充，确保地表污染物不进入井内，各层位地下水不连通。</w:t>
            </w:r>
          </w:p>
          <w:p>
            <w:pPr>
              <w:ind w:firstLine="480"/>
              <w:rPr>
                <w:bCs/>
                <w:spacing w:val="10"/>
                <w:szCs w:val="21"/>
              </w:rPr>
            </w:pPr>
            <w:r>
              <w:t>在封井施工操作中应注意采取降尘措施，文明施工，防止水泥等的洒落与飘散，同时在清理井场时防止产生飞灰、扬尘的产生，尽可能降低对周边大气环境的影响。另外，井场清理等工作还会产生部分废弃建筑残渣等固体废物，对这些残渣应进行集中清理收集，外运至指定处理场填埋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02" w:hRule="atLeast"/>
          <w:jc w:val="center"/>
        </w:trPr>
        <w:tc>
          <w:tcPr>
            <w:tcW w:w="753" w:type="dxa"/>
            <w:vAlign w:val="center"/>
          </w:tcPr>
          <w:p>
            <w:pPr>
              <w:ind w:firstLine="0" w:firstLineChars="0"/>
              <w:jc w:val="center"/>
              <w:rPr>
                <w:bCs/>
                <w:spacing w:val="10"/>
                <w:szCs w:val="21"/>
              </w:rPr>
            </w:pPr>
            <w:r>
              <w:rPr>
                <w:bCs/>
                <w:szCs w:val="21"/>
              </w:rPr>
              <w:t>其他</w:t>
            </w:r>
          </w:p>
        </w:tc>
        <w:tc>
          <w:tcPr>
            <w:tcW w:w="8457" w:type="dxa"/>
            <w:vAlign w:val="center"/>
          </w:tcPr>
          <w:p>
            <w:pPr>
              <w:pStyle w:val="18"/>
            </w:pPr>
            <w:bookmarkStart w:id="55" w:name="_Toc9250"/>
            <w:r>
              <w:t>1 环境管理</w:t>
            </w:r>
            <w:bookmarkEnd w:id="55"/>
          </w:p>
          <w:p>
            <w:pPr>
              <w:pStyle w:val="18"/>
              <w:ind w:firstLine="480" w:firstLineChars="200"/>
            </w:pPr>
            <w:r>
              <w:rPr>
                <w:rFonts w:hint="eastAsia"/>
                <w:b w:val="0"/>
                <w:bCs/>
                <w:sz w:val="24"/>
                <w:szCs w:val="22"/>
              </w:rPr>
              <w:t>本项目实施过程中，将根据中国石油新疆油田分公司在环境管理上建立的健康、安全与环境管理体系（</w:t>
            </w:r>
            <w:r>
              <w:rPr>
                <w:b w:val="0"/>
                <w:bCs/>
                <w:sz w:val="24"/>
                <w:szCs w:val="22"/>
              </w:rPr>
              <w:t>HSE</w:t>
            </w:r>
            <w:r>
              <w:rPr>
                <w:rFonts w:hint="eastAsia"/>
                <w:b w:val="0"/>
                <w:bCs/>
                <w:sz w:val="24"/>
                <w:szCs w:val="22"/>
              </w:rPr>
              <w:t>管理体系），落实各项环保和安全措施，减少项目开发对周围环境的影响。</w:t>
            </w:r>
          </w:p>
          <w:p>
            <w:pPr>
              <w:pStyle w:val="19"/>
            </w:pPr>
            <w:r>
              <w:t>1.1 钻前准备环境管理要求</w:t>
            </w:r>
          </w:p>
          <w:p>
            <w:pPr>
              <w:ind w:firstLine="480"/>
            </w:pPr>
            <w:r>
              <w:t xml:space="preserve">（1）在井场时，避免堵塞和填充任何自然排水通道，施工作业机械不得在井场、道路以外的地方行驶和作业，禁止碾压和破坏植被，禁止乱扔废弃物。 </w:t>
            </w:r>
          </w:p>
          <w:p>
            <w:pPr>
              <w:ind w:firstLine="480"/>
            </w:pPr>
            <w:r>
              <w:t>（2）井场临时用地面积按设计划定，不得超过规定面积。</w:t>
            </w:r>
          </w:p>
          <w:p>
            <w:pPr>
              <w:ind w:firstLine="480"/>
            </w:pPr>
            <w:r>
              <w:t>（3）做好各种管线的试运行工作，防止油、水跑、冒、滴、漏。</w:t>
            </w:r>
          </w:p>
          <w:p>
            <w:pPr>
              <w:ind w:firstLine="480"/>
            </w:pPr>
            <w:r>
              <w:t>（4）井场应有排水沟。钻机底座下、机泵房、循环罐区应有排水沟，排水沟必须硬化防渗、防塌，过车地段沟上要铺钢板桥。</w:t>
            </w:r>
          </w:p>
          <w:p>
            <w:pPr>
              <w:pStyle w:val="5"/>
              <w:ind w:firstLine="0" w:firstLineChars="0"/>
            </w:pPr>
            <w:r>
              <w:rPr>
                <w:rFonts w:hint="eastAsia"/>
              </w:rPr>
              <w:t>1</w:t>
            </w:r>
            <w:r>
              <w:t>.2 施工期环境管理要求</w:t>
            </w:r>
          </w:p>
          <w:p>
            <w:pPr>
              <w:pStyle w:val="21"/>
              <w:rPr>
                <w:rFonts w:ascii="Times New Roman" w:hAnsi="Times New Roman"/>
              </w:rPr>
            </w:pPr>
            <w:r>
              <w:rPr>
                <w:rFonts w:ascii="Times New Roman" w:hAnsi="Times New Roman"/>
              </w:rPr>
              <w:t>（1）采用泥浆不落地工艺的井，岩屑</w:t>
            </w:r>
            <w:r>
              <w:rPr>
                <w:rFonts w:hint="eastAsia" w:ascii="Times New Roman" w:hAnsi="Times New Roman"/>
              </w:rPr>
              <w:t>收集</w:t>
            </w:r>
            <w:r>
              <w:rPr>
                <w:rFonts w:ascii="Times New Roman" w:hAnsi="Times New Roman"/>
              </w:rPr>
              <w:t>在岩屑储存罐内。</w:t>
            </w:r>
          </w:p>
          <w:p>
            <w:pPr>
              <w:pStyle w:val="21"/>
              <w:rPr>
                <w:rFonts w:ascii="Times New Roman" w:hAnsi="Times New Roman"/>
              </w:rPr>
            </w:pPr>
            <w:r>
              <w:rPr>
                <w:rFonts w:ascii="Times New Roman" w:hAnsi="Times New Roman"/>
              </w:rPr>
              <w:t>（2）不落地岩屑应有含水率检验</w:t>
            </w:r>
            <w:r>
              <w:rPr>
                <w:rFonts w:hint="eastAsia" w:ascii="Times New Roman" w:hAnsi="Times New Roman"/>
              </w:rPr>
              <w:t>台账</w:t>
            </w:r>
            <w:r>
              <w:rPr>
                <w:rFonts w:ascii="Times New Roman" w:hAnsi="Times New Roman"/>
              </w:rPr>
              <w:t>（日报）。</w:t>
            </w:r>
          </w:p>
          <w:p>
            <w:pPr>
              <w:pStyle w:val="21"/>
              <w:rPr>
                <w:rFonts w:ascii="Times New Roman" w:hAnsi="Times New Roman"/>
              </w:rPr>
            </w:pPr>
            <w:r>
              <w:rPr>
                <w:rFonts w:ascii="Times New Roman" w:hAnsi="Times New Roman"/>
              </w:rPr>
              <w:t>（3）现场岩屑分开存放，在同一堆场应有物理分割。</w:t>
            </w:r>
          </w:p>
          <w:p>
            <w:pPr>
              <w:pStyle w:val="21"/>
              <w:rPr>
                <w:rFonts w:ascii="Times New Roman" w:hAnsi="Times New Roman"/>
              </w:rPr>
            </w:pPr>
            <w:r>
              <w:rPr>
                <w:rFonts w:ascii="Times New Roman" w:hAnsi="Times New Roman"/>
              </w:rPr>
              <w:t>（4）发生井喷后地面处理措施及要求：调查因井喷事故造成的地面污染情况，积极组织清除地面环境污染，恢复地貌。</w:t>
            </w:r>
          </w:p>
          <w:p>
            <w:pPr>
              <w:pStyle w:val="19"/>
            </w:pPr>
            <w:r>
              <w:t>1.3 完井后环境管理要求</w:t>
            </w:r>
          </w:p>
          <w:p>
            <w:pPr>
              <w:adjustRightInd/>
              <w:snapToGrid/>
              <w:ind w:firstLine="480"/>
            </w:pPr>
            <w:r>
              <w:t>（1）妥善存放泥浆材料等化学品，不得失散在井场。废弃包装袋等应及时加以回收。</w:t>
            </w:r>
          </w:p>
          <w:p>
            <w:pPr>
              <w:adjustRightInd/>
              <w:snapToGrid/>
              <w:ind w:firstLine="480"/>
            </w:pPr>
            <w:r>
              <w:t>（2）推平柴油、机油及水罐坡道，井场应平整。</w:t>
            </w:r>
          </w:p>
          <w:p>
            <w:pPr>
              <w:adjustRightInd/>
              <w:snapToGrid/>
              <w:ind w:firstLine="480"/>
            </w:pPr>
            <w:r>
              <w:t>（3）井场、基地不得随处丢弃垃圾，有利用价值的废料应回收，没有利用价值的废料应送至垃圾场填埋。</w:t>
            </w:r>
          </w:p>
          <w:p>
            <w:pPr>
              <w:adjustRightInd/>
              <w:snapToGrid/>
              <w:ind w:left="482" w:hanging="482" w:hangingChars="200"/>
              <w:rPr>
                <w:rStyle w:val="27"/>
              </w:rPr>
            </w:pPr>
            <w:r>
              <w:rPr>
                <w:rStyle w:val="27"/>
                <w:rFonts w:hint="eastAsia"/>
              </w:rPr>
              <w:t>1.4 后续环境管理要求</w:t>
            </w:r>
          </w:p>
          <w:p>
            <w:pPr>
              <w:ind w:firstLine="480"/>
            </w:pPr>
            <w:r>
              <w:rPr>
                <w:rFonts w:hint="eastAsia"/>
              </w:rPr>
              <w:t>后续如评价井具有油气开采价值，油气</w:t>
            </w:r>
            <w:r>
              <w:t>开采项目须按分类管理和分级审批要求编制环境影响</w:t>
            </w:r>
            <w:r>
              <w:rPr>
                <w:rFonts w:hint="eastAsia"/>
              </w:rPr>
              <w:t>评价报告</w:t>
            </w:r>
            <w:r>
              <w:t>并报有审批权限的生态环境部门审批</w:t>
            </w:r>
            <w:r>
              <w:rPr>
                <w:rFonts w:hint="eastAsia"/>
              </w:rPr>
              <w:t>，</w:t>
            </w:r>
            <w:r>
              <w:t>不得</w:t>
            </w:r>
            <w:r>
              <w:rPr>
                <w:rFonts w:hint="eastAsia"/>
              </w:rPr>
              <w:t>“</w:t>
            </w:r>
            <w:r>
              <w:t>以探代采</w:t>
            </w:r>
            <w:r>
              <w:rPr>
                <w:rFonts w:hint="eastAsia"/>
              </w:rPr>
              <w:t>”。建设单位应对地下水、生态、土壤等开展长期跟踪监测，发现问题应及时整改。项目正式投入生产或运营后，每3-5年开展一次环境影响后评价，依法报生态环境主管部门备案。</w:t>
            </w:r>
          </w:p>
          <w:p>
            <w:pPr>
              <w:pStyle w:val="18"/>
            </w:pPr>
            <w:r>
              <w:rPr>
                <w:rFonts w:hint="eastAsia"/>
              </w:rPr>
              <w:t>2</w:t>
            </w:r>
            <w:r>
              <w:t xml:space="preserve"> 环保验收</w:t>
            </w:r>
          </w:p>
          <w:p>
            <w:pPr>
              <w:widowControl/>
              <w:ind w:firstLine="480"/>
              <w:jc w:val="left"/>
            </w:pPr>
            <w:r>
              <w:rPr>
                <w:rFonts w:hint="eastAsia" w:ascii="宋体" w:hAnsi="宋体" w:cs="宋体"/>
                <w:kern w:val="0"/>
                <w:lang w:bidi="ar"/>
              </w:rPr>
              <w:t>《中华人民共和国环境保护法》第四十一条中明确规定：</w:t>
            </w:r>
            <w:r>
              <w:rPr>
                <w:kern w:val="0"/>
                <w:lang w:bidi="ar"/>
              </w:rPr>
              <w:t>“</w:t>
            </w:r>
            <w:r>
              <w:rPr>
                <w:rFonts w:hint="eastAsia" w:ascii="宋体" w:hAnsi="宋体" w:cs="宋体"/>
                <w:kern w:val="0"/>
                <w:lang w:bidi="ar"/>
              </w:rPr>
              <w:t>建设项目中防治污染的设施，必须与主体工程同时设计、同时施工、同时投产使用</w:t>
            </w:r>
            <w:r>
              <w:rPr>
                <w:kern w:val="0"/>
                <w:lang w:bidi="ar"/>
              </w:rPr>
              <w:t>”</w:t>
            </w:r>
            <w:r>
              <w:rPr>
                <w:rFonts w:hint="eastAsia" w:ascii="宋体" w:hAnsi="宋体" w:cs="宋体"/>
                <w:kern w:val="0"/>
                <w:lang w:bidi="ar"/>
              </w:rPr>
              <w:t>。</w:t>
            </w:r>
          </w:p>
          <w:p>
            <w:pPr>
              <w:widowControl/>
              <w:ind w:firstLine="480"/>
              <w:jc w:val="left"/>
            </w:pPr>
            <w:r>
              <w:rPr>
                <w:rFonts w:hint="eastAsia" w:ascii="宋体" w:hAnsi="宋体" w:cs="宋体"/>
                <w:kern w:val="0"/>
                <w:lang w:bidi="ar"/>
              </w:rPr>
              <w:t>评价井建成后建设单位应按照《建设项目竣工环境保护验收暂行办法》相关规定，开展竣工环境保护验收，建议按表</w:t>
            </w:r>
            <w:r>
              <w:rPr>
                <w:kern w:val="0"/>
                <w:lang w:bidi="ar"/>
              </w:rPr>
              <w:t>5-2</w:t>
            </w:r>
            <w:r>
              <w:rPr>
                <w:rFonts w:hint="eastAsia" w:ascii="宋体" w:hAnsi="宋体" w:cs="宋体"/>
                <w:kern w:val="0"/>
                <w:lang w:bidi="ar"/>
              </w:rPr>
              <w:t>开展竣工环境保护验收。</w:t>
            </w:r>
          </w:p>
          <w:p>
            <w:pPr>
              <w:ind w:firstLine="422"/>
              <w:jc w:val="center"/>
              <w:rPr>
                <w:b/>
                <w:sz w:val="21"/>
                <w:szCs w:val="21"/>
              </w:rPr>
            </w:pPr>
            <w:r>
              <w:rPr>
                <w:b/>
                <w:sz w:val="21"/>
                <w:szCs w:val="21"/>
              </w:rPr>
              <w:t>表5-</w:t>
            </w:r>
            <w:r>
              <w:rPr>
                <w:rFonts w:hint="eastAsia"/>
                <w:b/>
                <w:sz w:val="21"/>
                <w:szCs w:val="21"/>
              </w:rPr>
              <w:t>2</w:t>
            </w:r>
            <w:r>
              <w:rPr>
                <w:b/>
                <w:sz w:val="21"/>
                <w:szCs w:val="21"/>
              </w:rPr>
              <w:t xml:space="preserve">  “三同时”竣工验收调查建议清单</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652"/>
              <w:gridCol w:w="973"/>
              <w:gridCol w:w="2025"/>
              <w:gridCol w:w="1123"/>
              <w:gridCol w:w="1238"/>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93" w:type="pct"/>
                  <w:vMerge w:val="restart"/>
                  <w:vAlign w:val="center"/>
                </w:tcPr>
                <w:p>
                  <w:pPr>
                    <w:widowControl/>
                    <w:overflowPunct w:val="0"/>
                    <w:autoSpaceDE w:val="0"/>
                    <w:autoSpaceDN w:val="0"/>
                    <w:spacing w:line="280" w:lineRule="exact"/>
                    <w:ind w:firstLine="0" w:firstLineChars="0"/>
                    <w:jc w:val="center"/>
                    <w:textAlignment w:val="baseline"/>
                    <w:rPr>
                      <w:b/>
                      <w:bCs/>
                      <w:kern w:val="0"/>
                      <w:sz w:val="21"/>
                      <w:szCs w:val="21"/>
                    </w:rPr>
                  </w:pPr>
                  <w:r>
                    <w:rPr>
                      <w:b/>
                      <w:bCs/>
                      <w:kern w:val="0"/>
                      <w:sz w:val="21"/>
                      <w:szCs w:val="21"/>
                    </w:rPr>
                    <w:t>验收内容</w:t>
                  </w:r>
                </w:p>
              </w:tc>
              <w:tc>
                <w:tcPr>
                  <w:tcW w:w="396" w:type="pct"/>
                  <w:vMerge w:val="restart"/>
                  <w:vAlign w:val="center"/>
                </w:tcPr>
                <w:p>
                  <w:pPr>
                    <w:widowControl/>
                    <w:overflowPunct w:val="0"/>
                    <w:autoSpaceDE w:val="0"/>
                    <w:autoSpaceDN w:val="0"/>
                    <w:spacing w:line="280" w:lineRule="exact"/>
                    <w:ind w:firstLine="0" w:firstLineChars="0"/>
                    <w:jc w:val="center"/>
                    <w:textAlignment w:val="baseline"/>
                    <w:rPr>
                      <w:b/>
                      <w:bCs/>
                      <w:kern w:val="0"/>
                      <w:sz w:val="21"/>
                      <w:szCs w:val="21"/>
                    </w:rPr>
                  </w:pPr>
                  <w:r>
                    <w:rPr>
                      <w:b/>
                      <w:bCs/>
                      <w:kern w:val="0"/>
                      <w:sz w:val="21"/>
                      <w:szCs w:val="21"/>
                    </w:rPr>
                    <w:t>位置</w:t>
                  </w:r>
                </w:p>
              </w:tc>
              <w:tc>
                <w:tcPr>
                  <w:tcW w:w="591" w:type="pct"/>
                  <w:vMerge w:val="restart"/>
                  <w:vAlign w:val="center"/>
                </w:tcPr>
                <w:p>
                  <w:pPr>
                    <w:widowControl/>
                    <w:overflowPunct w:val="0"/>
                    <w:autoSpaceDE w:val="0"/>
                    <w:autoSpaceDN w:val="0"/>
                    <w:spacing w:line="280" w:lineRule="exact"/>
                    <w:ind w:firstLine="0" w:firstLineChars="0"/>
                    <w:jc w:val="center"/>
                    <w:textAlignment w:val="baseline"/>
                    <w:rPr>
                      <w:b/>
                      <w:bCs/>
                      <w:kern w:val="0"/>
                      <w:sz w:val="21"/>
                      <w:szCs w:val="21"/>
                    </w:rPr>
                  </w:pPr>
                  <w:r>
                    <w:rPr>
                      <w:b/>
                      <w:bCs/>
                      <w:kern w:val="0"/>
                      <w:sz w:val="21"/>
                      <w:szCs w:val="21"/>
                    </w:rPr>
                    <w:t>治理对象</w:t>
                  </w:r>
                </w:p>
              </w:tc>
              <w:tc>
                <w:tcPr>
                  <w:tcW w:w="2664" w:type="pct"/>
                  <w:gridSpan w:val="3"/>
                  <w:vAlign w:val="center"/>
                </w:tcPr>
                <w:p>
                  <w:pPr>
                    <w:widowControl/>
                    <w:overflowPunct w:val="0"/>
                    <w:autoSpaceDE w:val="0"/>
                    <w:autoSpaceDN w:val="0"/>
                    <w:spacing w:line="280" w:lineRule="exact"/>
                    <w:ind w:firstLine="0" w:firstLineChars="0"/>
                    <w:jc w:val="center"/>
                    <w:textAlignment w:val="baseline"/>
                    <w:rPr>
                      <w:b/>
                      <w:bCs/>
                      <w:kern w:val="0"/>
                      <w:sz w:val="21"/>
                      <w:szCs w:val="21"/>
                    </w:rPr>
                  </w:pPr>
                  <w:r>
                    <w:rPr>
                      <w:rFonts w:hint="eastAsia"/>
                      <w:b/>
                      <w:bCs/>
                      <w:kern w:val="0"/>
                      <w:sz w:val="21"/>
                      <w:szCs w:val="21"/>
                    </w:rPr>
                    <w:t>验收清单</w:t>
                  </w:r>
                </w:p>
              </w:tc>
              <w:tc>
                <w:tcPr>
                  <w:tcW w:w="954" w:type="pct"/>
                  <w:vMerge w:val="restart"/>
                  <w:vAlign w:val="center"/>
                </w:tcPr>
                <w:p>
                  <w:pPr>
                    <w:widowControl/>
                    <w:overflowPunct w:val="0"/>
                    <w:autoSpaceDE w:val="0"/>
                    <w:autoSpaceDN w:val="0"/>
                    <w:spacing w:line="280" w:lineRule="exact"/>
                    <w:ind w:firstLine="0" w:firstLineChars="0"/>
                    <w:jc w:val="center"/>
                    <w:textAlignment w:val="baseline"/>
                    <w:rPr>
                      <w:b/>
                      <w:bCs/>
                      <w:kern w:val="0"/>
                      <w:sz w:val="21"/>
                      <w:szCs w:val="21"/>
                    </w:rPr>
                  </w:pPr>
                  <w:r>
                    <w:rPr>
                      <w:b/>
                      <w:bCs/>
                      <w:kern w:val="0"/>
                      <w:sz w:val="21"/>
                      <w:szCs w:val="21"/>
                    </w:rPr>
                    <w:t>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93" w:type="pct"/>
                  <w:vMerge w:val="continue"/>
                  <w:vAlign w:val="center"/>
                </w:tcPr>
                <w:p>
                  <w:pPr>
                    <w:widowControl/>
                    <w:overflowPunct w:val="0"/>
                    <w:autoSpaceDE w:val="0"/>
                    <w:autoSpaceDN w:val="0"/>
                    <w:spacing w:line="280" w:lineRule="exact"/>
                    <w:ind w:firstLine="480"/>
                    <w:jc w:val="center"/>
                    <w:textAlignment w:val="baseline"/>
                  </w:pPr>
                </w:p>
              </w:tc>
              <w:tc>
                <w:tcPr>
                  <w:tcW w:w="396" w:type="pct"/>
                  <w:vMerge w:val="continue"/>
                  <w:vAlign w:val="center"/>
                </w:tcPr>
                <w:p>
                  <w:pPr>
                    <w:widowControl/>
                    <w:overflowPunct w:val="0"/>
                    <w:autoSpaceDE w:val="0"/>
                    <w:autoSpaceDN w:val="0"/>
                    <w:spacing w:line="280" w:lineRule="exact"/>
                    <w:ind w:firstLine="480"/>
                    <w:jc w:val="center"/>
                    <w:textAlignment w:val="baseline"/>
                  </w:pPr>
                </w:p>
              </w:tc>
              <w:tc>
                <w:tcPr>
                  <w:tcW w:w="591" w:type="pct"/>
                  <w:vMerge w:val="continue"/>
                  <w:vAlign w:val="center"/>
                </w:tcPr>
                <w:p>
                  <w:pPr>
                    <w:widowControl/>
                    <w:overflowPunct w:val="0"/>
                    <w:autoSpaceDE w:val="0"/>
                    <w:autoSpaceDN w:val="0"/>
                    <w:spacing w:line="280" w:lineRule="exact"/>
                    <w:ind w:firstLine="480"/>
                    <w:jc w:val="center"/>
                    <w:textAlignment w:val="baseline"/>
                  </w:pPr>
                </w:p>
              </w:tc>
              <w:tc>
                <w:tcPr>
                  <w:tcW w:w="1230" w:type="pct"/>
                  <w:vAlign w:val="center"/>
                </w:tcPr>
                <w:p>
                  <w:pPr>
                    <w:widowControl/>
                    <w:overflowPunct w:val="0"/>
                    <w:autoSpaceDE w:val="0"/>
                    <w:autoSpaceDN w:val="0"/>
                    <w:spacing w:line="280" w:lineRule="exact"/>
                    <w:ind w:firstLine="0" w:firstLineChars="0"/>
                    <w:jc w:val="center"/>
                    <w:textAlignment w:val="baseline"/>
                  </w:pPr>
                  <w:r>
                    <w:rPr>
                      <w:b/>
                      <w:bCs/>
                      <w:kern w:val="0"/>
                      <w:sz w:val="21"/>
                      <w:szCs w:val="21"/>
                    </w:rPr>
                    <w:t>防治措施</w:t>
                  </w:r>
                </w:p>
              </w:tc>
              <w:tc>
                <w:tcPr>
                  <w:tcW w:w="1434" w:type="pct"/>
                  <w:gridSpan w:val="2"/>
                  <w:vAlign w:val="center"/>
                </w:tcPr>
                <w:p>
                  <w:pPr>
                    <w:widowControl/>
                    <w:overflowPunct w:val="0"/>
                    <w:autoSpaceDE w:val="0"/>
                    <w:autoSpaceDN w:val="0"/>
                    <w:spacing w:line="280" w:lineRule="exact"/>
                    <w:ind w:firstLine="0" w:firstLineChars="0"/>
                    <w:jc w:val="center"/>
                    <w:textAlignment w:val="baseline"/>
                  </w:pPr>
                  <w:r>
                    <w:rPr>
                      <w:rFonts w:hint="eastAsia"/>
                      <w:b/>
                      <w:bCs/>
                      <w:kern w:val="0"/>
                      <w:sz w:val="21"/>
                      <w:szCs w:val="21"/>
                    </w:rPr>
                    <w:t>工程量</w:t>
                  </w:r>
                </w:p>
              </w:tc>
              <w:tc>
                <w:tcPr>
                  <w:tcW w:w="954" w:type="pct"/>
                  <w:vMerge w:val="continue"/>
                  <w:vAlign w:val="center"/>
                </w:tcPr>
                <w:p>
                  <w:pPr>
                    <w:widowControl/>
                    <w:overflowPunct w:val="0"/>
                    <w:autoSpaceDE w:val="0"/>
                    <w:autoSpaceDN w:val="0"/>
                    <w:spacing w:line="280" w:lineRule="exact"/>
                    <w:ind w:firstLine="480"/>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3"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废气</w:t>
                  </w:r>
                </w:p>
              </w:tc>
              <w:tc>
                <w:tcPr>
                  <w:tcW w:w="396"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井场</w:t>
                  </w: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柴油废气</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使用达标柴油，加强设备维护</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w:t>
                  </w:r>
                </w:p>
              </w:tc>
              <w:tc>
                <w:tcPr>
                  <w:tcW w:w="954" w:type="pct"/>
                  <w:vMerge w:val="restart"/>
                  <w:vAlign w:val="center"/>
                </w:tcPr>
                <w:p>
                  <w:pPr>
                    <w:widowControl/>
                    <w:overflowPunct w:val="0"/>
                    <w:autoSpaceDE w:val="0"/>
                    <w:autoSpaceDN w:val="0"/>
                    <w:spacing w:line="280" w:lineRule="exact"/>
                    <w:ind w:firstLine="420"/>
                    <w:jc w:val="center"/>
                    <w:textAlignment w:val="baseline"/>
                    <w:rPr>
                      <w:kern w:val="0"/>
                      <w:sz w:val="21"/>
                      <w:szCs w:val="21"/>
                    </w:rPr>
                  </w:pP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3" w:type="pct"/>
                  <w:vMerge w:val="continue"/>
                  <w:vAlign w:val="center"/>
                </w:tcPr>
                <w:p>
                  <w:pPr>
                    <w:widowControl/>
                    <w:overflowPunct w:val="0"/>
                    <w:autoSpaceDE w:val="0"/>
                    <w:autoSpaceDN w:val="0"/>
                    <w:spacing w:line="280" w:lineRule="exact"/>
                    <w:ind w:firstLine="0" w:firstLineChars="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0" w:firstLineChars="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扬尘</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对易起尘物料遮盖，加强车辆管理</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w:t>
                  </w:r>
                </w:p>
              </w:tc>
              <w:tc>
                <w:tcPr>
                  <w:tcW w:w="954"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sz w:val="21"/>
                      <w:szCs w:val="21"/>
                    </w:rPr>
                    <w:t>施工机械废气、运输车辆尾气</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各类机械设备</w:t>
                  </w:r>
                  <w:r>
                    <w:rPr>
                      <w:kern w:val="0"/>
                      <w:sz w:val="21"/>
                      <w:szCs w:val="21"/>
                    </w:rPr>
                    <w:t>均使用符合国家标准的燃料</w:t>
                  </w:r>
                  <w:r>
                    <w:rPr>
                      <w:rFonts w:hint="eastAsia"/>
                      <w:kern w:val="0"/>
                      <w:sz w:val="21"/>
                      <w:szCs w:val="21"/>
                    </w:rPr>
                    <w:t>，合理规划、选择最短的工区道路运输路线，减少车辆尾气的排放</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w:t>
                  </w:r>
                </w:p>
              </w:tc>
              <w:tc>
                <w:tcPr>
                  <w:tcW w:w="954"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sz w:val="21"/>
                      <w:szCs w:val="21"/>
                    </w:rPr>
                  </w:pPr>
                  <w:r>
                    <w:rPr>
                      <w:rFonts w:hint="eastAsia"/>
                      <w:sz w:val="21"/>
                      <w:szCs w:val="21"/>
                    </w:rPr>
                    <w:t>临时储罐</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sz w:val="21"/>
                      <w:szCs w:val="21"/>
                    </w:rPr>
                  </w:pPr>
                  <w:r>
                    <w:rPr>
                      <w:sz w:val="21"/>
                      <w:szCs w:val="21"/>
                    </w:rPr>
                    <w:t>无组织排放</w:t>
                  </w:r>
                </w:p>
              </w:tc>
              <w:tc>
                <w:tcPr>
                  <w:tcW w:w="752" w:type="pct"/>
                  <w:vAlign w:val="center"/>
                </w:tcPr>
                <w:p>
                  <w:pPr>
                    <w:widowControl/>
                    <w:overflowPunct w:val="0"/>
                    <w:autoSpaceDE w:val="0"/>
                    <w:autoSpaceDN w:val="0"/>
                    <w:spacing w:line="280" w:lineRule="exact"/>
                    <w:ind w:firstLine="0" w:firstLineChars="0"/>
                    <w:jc w:val="center"/>
                    <w:textAlignment w:val="baseline"/>
                    <w:rPr>
                      <w:sz w:val="21"/>
                      <w:szCs w:val="21"/>
                    </w:rPr>
                  </w:pPr>
                  <w:r>
                    <w:rPr>
                      <w:sz w:val="21"/>
                      <w:szCs w:val="21"/>
                    </w:rPr>
                    <w:t>1个60m</w:t>
                  </w:r>
                  <w:r>
                    <w:rPr>
                      <w:sz w:val="21"/>
                      <w:szCs w:val="21"/>
                      <w:vertAlign w:val="superscript"/>
                    </w:rPr>
                    <w:t>3</w:t>
                  </w:r>
                  <w:r>
                    <w:rPr>
                      <w:rFonts w:hint="eastAsia"/>
                      <w:sz w:val="21"/>
                      <w:szCs w:val="21"/>
                    </w:rPr>
                    <w:t>采出液</w:t>
                  </w:r>
                  <w:r>
                    <w:rPr>
                      <w:sz w:val="21"/>
                      <w:szCs w:val="21"/>
                    </w:rPr>
                    <w:t>临时储罐</w:t>
                  </w:r>
                </w:p>
              </w:tc>
              <w:tc>
                <w:tcPr>
                  <w:tcW w:w="954"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pStyle w:val="20"/>
                    <w:rPr>
                      <w:kern w:val="0"/>
                      <w:szCs w:val="21"/>
                    </w:rPr>
                  </w:pPr>
                  <w:r>
                    <w:rPr>
                      <w:szCs w:val="21"/>
                    </w:rPr>
                    <w:t>伴生气</w:t>
                  </w:r>
                </w:p>
              </w:tc>
              <w:tc>
                <w:tcPr>
                  <w:tcW w:w="1912" w:type="pct"/>
                  <w:gridSpan w:val="2"/>
                  <w:vAlign w:val="center"/>
                </w:tcPr>
                <w:p>
                  <w:pPr>
                    <w:pStyle w:val="20"/>
                    <w:rPr>
                      <w:kern w:val="0"/>
                      <w:szCs w:val="21"/>
                    </w:rPr>
                  </w:pPr>
                  <w:r>
                    <w:rPr>
                      <w:szCs w:val="21"/>
                    </w:rPr>
                    <w:t>放散管燃放，无组织排放</w:t>
                  </w:r>
                </w:p>
              </w:tc>
              <w:tc>
                <w:tcPr>
                  <w:tcW w:w="752" w:type="pct"/>
                  <w:vAlign w:val="center"/>
                </w:tcPr>
                <w:p>
                  <w:pPr>
                    <w:pStyle w:val="20"/>
                    <w:rPr>
                      <w:szCs w:val="21"/>
                    </w:rPr>
                  </w:pPr>
                  <w:r>
                    <w:rPr>
                      <w:kern w:val="0"/>
                      <w:szCs w:val="21"/>
                    </w:rPr>
                    <w:t>/</w:t>
                  </w:r>
                </w:p>
              </w:tc>
              <w:tc>
                <w:tcPr>
                  <w:tcW w:w="954"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393"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废水</w:t>
                  </w:r>
                </w:p>
              </w:tc>
              <w:tc>
                <w:tcPr>
                  <w:tcW w:w="396"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井场</w:t>
                  </w: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洗井废水</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作业单位自带回收罐回收，洗井废水拉运至</w:t>
                  </w:r>
                  <w:r>
                    <w:rPr>
                      <w:rFonts w:hint="eastAsia"/>
                      <w:kern w:val="0"/>
                      <w:sz w:val="21"/>
                      <w:szCs w:val="21"/>
                    </w:rPr>
                    <w:t>乌尔禾稀油处理站污水处理设施处置</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每个施工井场配备方罐，规格为21m</w:t>
                  </w:r>
                  <w:r>
                    <w:rPr>
                      <w:rFonts w:hint="eastAsia"/>
                      <w:kern w:val="0"/>
                      <w:sz w:val="21"/>
                      <w:szCs w:val="21"/>
                      <w:vertAlign w:val="superscript"/>
                    </w:rPr>
                    <w:t>3</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生活污水</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排入防渗污水收集池，清运至</w:t>
                  </w:r>
                  <w:r>
                    <w:rPr>
                      <w:rFonts w:hint="eastAsia"/>
                      <w:kern w:val="0"/>
                      <w:sz w:val="21"/>
                      <w:szCs w:val="21"/>
                    </w:rPr>
                    <w:t>乌尔禾</w:t>
                  </w:r>
                  <w:r>
                    <w:rPr>
                      <w:kern w:val="0"/>
                      <w:sz w:val="21"/>
                      <w:szCs w:val="21"/>
                    </w:rPr>
                    <w:t>污水处理厂</w:t>
                  </w:r>
                  <w:r>
                    <w:rPr>
                      <w:rFonts w:hint="eastAsia"/>
                      <w:kern w:val="0"/>
                      <w:sz w:val="21"/>
                      <w:szCs w:val="21"/>
                    </w:rPr>
                    <w:t>处理</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防渗收集池1座（30m</w:t>
                  </w:r>
                  <w:r>
                    <w:rPr>
                      <w:rFonts w:hint="eastAsia"/>
                      <w:kern w:val="0"/>
                      <w:sz w:val="21"/>
                      <w:szCs w:val="21"/>
                      <w:vertAlign w:val="superscript"/>
                    </w:rPr>
                    <w:t>3</w:t>
                  </w:r>
                  <w:r>
                    <w:rPr>
                      <w:rFonts w:hint="eastAsia"/>
                      <w:kern w:val="0"/>
                      <w:sz w:val="21"/>
                      <w:szCs w:val="21"/>
                    </w:rPr>
                    <w:t>）</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393"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固废</w:t>
                  </w:r>
                </w:p>
              </w:tc>
              <w:tc>
                <w:tcPr>
                  <w:tcW w:w="396"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井场</w:t>
                  </w: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钻井泥浆</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bookmarkStart w:id="56" w:name="_Hlk47367053"/>
                  <w:r>
                    <w:rPr>
                      <w:kern w:val="0"/>
                      <w:sz w:val="21"/>
                      <w:szCs w:val="21"/>
                    </w:rPr>
                    <w:t>泥浆经“钻井泥浆不落地技术”处理后循环使用，完井后剩余泥浆由</w:t>
                  </w:r>
                  <w:r>
                    <w:rPr>
                      <w:rFonts w:hint="eastAsia"/>
                      <w:kern w:val="0"/>
                      <w:sz w:val="21"/>
                      <w:szCs w:val="21"/>
                    </w:rPr>
                    <w:t>钻井队</w:t>
                  </w:r>
                  <w:r>
                    <w:rPr>
                      <w:kern w:val="0"/>
                      <w:sz w:val="21"/>
                      <w:szCs w:val="21"/>
                    </w:rPr>
                    <w:t>回收利用</w:t>
                  </w:r>
                  <w:bookmarkEnd w:id="56"/>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回收罐若干，不落地处理系统1套</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钻井岩屑</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bookmarkStart w:id="57" w:name="_Hlk47367042"/>
                  <w:r>
                    <w:rPr>
                      <w:kern w:val="0"/>
                      <w:sz w:val="21"/>
                      <w:szCs w:val="21"/>
                    </w:rPr>
                    <w:t>岩</w:t>
                  </w:r>
                  <w:r>
                    <w:rPr>
                      <w:rFonts w:hint="eastAsia"/>
                      <w:kern w:val="0"/>
                      <w:sz w:val="21"/>
                      <w:szCs w:val="21"/>
                    </w:rPr>
                    <w:t>屑经“钻井泥浆不落地技术”分离后</w:t>
                  </w:r>
                  <w:bookmarkEnd w:id="57"/>
                  <w:r>
                    <w:rPr>
                      <w:rFonts w:hint="eastAsia"/>
                      <w:kern w:val="0"/>
                      <w:sz w:val="21"/>
                      <w:szCs w:val="21"/>
                    </w:rPr>
                    <w:t>收集于岩屑储罐内，委托有资质的单位处置</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井场设置岩屑储罐</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《油气田钻井固体废物综合利用污染控制要求》（DB65/T 3997-2017）中综合利用污染物限值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压裂返排液</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压裂返排液进入乌尔禾稀油处理站污水处理设施处置，拉运过程中要求满足《危险废物收集 贮存 运输技术规范》（HJ 2025-2012）</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方罐，依托乌尔禾稀油处理站处理</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落地油</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落地油100%回收，</w:t>
                  </w:r>
                  <w:r>
                    <w:rPr>
                      <w:rFonts w:hint="eastAsia"/>
                      <w:kern w:val="0"/>
                      <w:sz w:val="21"/>
                      <w:szCs w:val="21"/>
                    </w:rPr>
                    <w:t>委托具有危废资质单位处置</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回收罐若干</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kern w:val="0"/>
                      <w:sz w:val="21"/>
                      <w:szCs w:val="21"/>
                    </w:rPr>
                    <w:t>《陆上石油天然气开采含油污泥处理处置及污染控制技术规范》（SY/T7300-2016）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机械设备废油</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产生的废机油由钻井单位用专用罐集中收集后交由有危废处置资质的单位。</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废弃防渗膜</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委托有资质的单位进行处置</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393" w:type="pct"/>
                  <w:vMerge w:val="continue"/>
                  <w:vAlign w:val="center"/>
                </w:tcPr>
                <w:p>
                  <w:pPr>
                    <w:widowControl/>
                    <w:overflowPunct w:val="0"/>
                    <w:autoSpaceDE w:val="0"/>
                    <w:autoSpaceDN w:val="0"/>
                    <w:spacing w:line="280" w:lineRule="exact"/>
                    <w:ind w:firstLine="420"/>
                    <w:jc w:val="center"/>
                    <w:textAlignment w:val="baseline"/>
                    <w:rPr>
                      <w:kern w:val="0"/>
                      <w:sz w:val="21"/>
                      <w:szCs w:val="21"/>
                    </w:rPr>
                  </w:pPr>
                </w:p>
              </w:tc>
              <w:tc>
                <w:tcPr>
                  <w:tcW w:w="396"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施工</w:t>
                  </w:r>
                </w:p>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营地</w:t>
                  </w: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生活垃圾</w:t>
                  </w:r>
                </w:p>
              </w:tc>
              <w:tc>
                <w:tcPr>
                  <w:tcW w:w="1912" w:type="pct"/>
                  <w:gridSpan w:val="2"/>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集中收集后定期拉运至乌尔禾生活垃圾填埋场</w:t>
                  </w:r>
                </w:p>
              </w:tc>
              <w:tc>
                <w:tcPr>
                  <w:tcW w:w="752"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垃圾箱1个</w:t>
                  </w:r>
                </w:p>
              </w:tc>
              <w:tc>
                <w:tcPr>
                  <w:tcW w:w="954"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93"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生态</w:t>
                  </w:r>
                </w:p>
              </w:tc>
              <w:tc>
                <w:tcPr>
                  <w:tcW w:w="396" w:type="pct"/>
                  <w:vMerge w:val="restar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井场、道路及生活营地</w:t>
                  </w: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生态恢复</w:t>
                  </w:r>
                </w:p>
              </w:tc>
              <w:tc>
                <w:tcPr>
                  <w:tcW w:w="3619" w:type="pct"/>
                  <w:gridSpan w:val="4"/>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生态保护措施落实情况；临时占地清理平整，植被自然恢复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393" w:type="pct"/>
                  <w:vMerge w:val="continue"/>
                  <w:vAlign w:val="center"/>
                </w:tcPr>
                <w:p>
                  <w:pPr>
                    <w:widowControl/>
                    <w:overflowPunct w:val="0"/>
                    <w:autoSpaceDE w:val="0"/>
                    <w:autoSpaceDN w:val="0"/>
                    <w:spacing w:line="280" w:lineRule="exact"/>
                    <w:ind w:firstLine="0" w:firstLineChars="0"/>
                    <w:jc w:val="center"/>
                    <w:textAlignment w:val="baseline"/>
                    <w:rPr>
                      <w:kern w:val="0"/>
                      <w:sz w:val="21"/>
                      <w:szCs w:val="21"/>
                    </w:rPr>
                  </w:pPr>
                </w:p>
              </w:tc>
              <w:tc>
                <w:tcPr>
                  <w:tcW w:w="396" w:type="pct"/>
                  <w:vMerge w:val="continue"/>
                  <w:vAlign w:val="center"/>
                </w:tcPr>
                <w:p>
                  <w:pPr>
                    <w:widowControl/>
                    <w:overflowPunct w:val="0"/>
                    <w:autoSpaceDE w:val="0"/>
                    <w:autoSpaceDN w:val="0"/>
                    <w:spacing w:line="280" w:lineRule="exact"/>
                    <w:ind w:firstLine="0" w:firstLineChars="0"/>
                    <w:jc w:val="center"/>
                    <w:textAlignment w:val="baseline"/>
                    <w:rPr>
                      <w:kern w:val="0"/>
                      <w:sz w:val="21"/>
                      <w:szCs w:val="21"/>
                    </w:rPr>
                  </w:pPr>
                </w:p>
              </w:tc>
              <w:tc>
                <w:tcPr>
                  <w:tcW w:w="591" w:type="pct"/>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野生动物及植被</w:t>
                  </w:r>
                </w:p>
              </w:tc>
              <w:tc>
                <w:tcPr>
                  <w:tcW w:w="3619" w:type="pct"/>
                  <w:gridSpan w:val="4"/>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严禁滥捕保护动物，严禁乱碾乱轧，毁坏植被；禁止车辆离开道路行驶，保护野生动物生境和生物多样性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80" w:type="pct"/>
                  <w:gridSpan w:val="3"/>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环境管理</w:t>
                  </w:r>
                </w:p>
              </w:tc>
              <w:tc>
                <w:tcPr>
                  <w:tcW w:w="3619" w:type="pct"/>
                  <w:gridSpan w:val="4"/>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环境管理制度是否建立并完善，环保机构及人员是否设置到位；是否保留必要的影像资料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80" w:type="pct"/>
                  <w:gridSpan w:val="3"/>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环境风险措施</w:t>
                  </w:r>
                </w:p>
              </w:tc>
              <w:tc>
                <w:tcPr>
                  <w:tcW w:w="3619" w:type="pct"/>
                  <w:gridSpan w:val="4"/>
                  <w:vAlign w:val="center"/>
                </w:tcPr>
                <w:p>
                  <w:pPr>
                    <w:widowControl/>
                    <w:overflowPunct w:val="0"/>
                    <w:autoSpaceDE w:val="0"/>
                    <w:autoSpaceDN w:val="0"/>
                    <w:spacing w:line="280" w:lineRule="exact"/>
                    <w:ind w:firstLine="0" w:firstLineChars="0"/>
                    <w:jc w:val="center"/>
                    <w:textAlignment w:val="baseline"/>
                    <w:rPr>
                      <w:kern w:val="0"/>
                      <w:sz w:val="21"/>
                      <w:szCs w:val="21"/>
                    </w:rPr>
                  </w:pPr>
                  <w:r>
                    <w:rPr>
                      <w:rFonts w:hint="eastAsia"/>
                      <w:kern w:val="0"/>
                      <w:sz w:val="21"/>
                      <w:szCs w:val="21"/>
                    </w:rPr>
                    <w:t>配备灭火装置、应急点火系统、钻井井口防喷器等</w:t>
                  </w:r>
                </w:p>
              </w:tc>
            </w:tr>
          </w:tbl>
          <w:p>
            <w:pPr>
              <w:ind w:firstLine="422"/>
              <w:jc w:val="center"/>
              <w:rPr>
                <w:b/>
                <w:sz w:val="21"/>
                <w:szCs w:val="21"/>
              </w:rPr>
            </w:pPr>
          </w:p>
          <w:p>
            <w:pPr>
              <w:ind w:firstLine="0" w:firstLineChars="0"/>
              <w:rPr>
                <w:bCs/>
                <w:spacing w:val="1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1" w:hRule="atLeast"/>
          <w:jc w:val="center"/>
        </w:trPr>
        <w:tc>
          <w:tcPr>
            <w:tcW w:w="753" w:type="dxa"/>
            <w:vAlign w:val="center"/>
          </w:tcPr>
          <w:p>
            <w:pPr>
              <w:ind w:firstLine="0" w:firstLineChars="0"/>
              <w:jc w:val="center"/>
              <w:rPr>
                <w:bCs/>
                <w:spacing w:val="10"/>
                <w:szCs w:val="21"/>
              </w:rPr>
            </w:pPr>
            <w:r>
              <w:rPr>
                <w:bCs/>
                <w:szCs w:val="21"/>
              </w:rPr>
              <w:t>环保投资</w:t>
            </w:r>
          </w:p>
        </w:tc>
        <w:tc>
          <w:tcPr>
            <w:tcW w:w="8457" w:type="dxa"/>
          </w:tcPr>
          <w:p>
            <w:pPr>
              <w:ind w:firstLine="480"/>
            </w:pPr>
            <w:r>
              <w:t>《中华人民共和国环境保护法》第四十一条中明确规定：“建设项目中防治污染的设施，必须与主体工程同时设计、同时施工、同时投产使用”。</w:t>
            </w:r>
          </w:p>
          <w:p>
            <w:pPr>
              <w:ind w:firstLine="480"/>
            </w:pPr>
            <w:r>
              <w:t>本项目总投资</w:t>
            </w:r>
            <w:r>
              <w:rPr>
                <w:rFonts w:hint="eastAsia"/>
              </w:rPr>
              <w:t>1015.89</w:t>
            </w:r>
            <w:r>
              <w:t>万元，估算环保投资为</w:t>
            </w:r>
            <w:r>
              <w:rPr>
                <w:rFonts w:hint="eastAsia"/>
              </w:rPr>
              <w:t>116.6</w:t>
            </w:r>
            <w:r>
              <w:t>万元，环境保护投资占总投资的</w:t>
            </w:r>
            <w:r>
              <w:rPr>
                <w:rFonts w:hint="eastAsia"/>
              </w:rPr>
              <w:t>11.48</w:t>
            </w:r>
            <w:r>
              <w:t>%。本项目环保投资估算见表5-</w:t>
            </w:r>
            <w:r>
              <w:rPr>
                <w:rFonts w:hint="eastAsia"/>
              </w:rPr>
              <w:t>4。</w:t>
            </w:r>
          </w:p>
          <w:p>
            <w:pPr>
              <w:pStyle w:val="2"/>
              <w:spacing w:line="360" w:lineRule="auto"/>
            </w:pPr>
            <w:r>
              <w:t>表5-</w:t>
            </w:r>
            <w:r>
              <w:rPr>
                <w:rFonts w:hint="eastAsia"/>
              </w:rPr>
              <w:t>4</w:t>
            </w:r>
            <w:r>
              <w:t xml:space="preserve">  工程环保投资估算</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469"/>
              <w:gridCol w:w="3791"/>
              <w:gridCol w:w="986"/>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Align w:val="center"/>
                </w:tcPr>
                <w:p>
                  <w:pPr>
                    <w:pStyle w:val="20"/>
                    <w:rPr>
                      <w:b/>
                      <w:bCs/>
                    </w:rPr>
                  </w:pPr>
                  <w:r>
                    <w:rPr>
                      <w:b/>
                      <w:bCs/>
                    </w:rPr>
                    <w:t>标号</w:t>
                  </w:r>
                </w:p>
              </w:tc>
              <w:tc>
                <w:tcPr>
                  <w:tcW w:w="892" w:type="pct"/>
                  <w:vAlign w:val="center"/>
                </w:tcPr>
                <w:p>
                  <w:pPr>
                    <w:pStyle w:val="20"/>
                    <w:rPr>
                      <w:b/>
                      <w:bCs/>
                    </w:rPr>
                  </w:pPr>
                  <w:r>
                    <w:rPr>
                      <w:b/>
                      <w:bCs/>
                    </w:rPr>
                    <w:t>环保项目</w:t>
                  </w:r>
                </w:p>
              </w:tc>
              <w:tc>
                <w:tcPr>
                  <w:tcW w:w="2303" w:type="pct"/>
                  <w:vAlign w:val="center"/>
                </w:tcPr>
                <w:p>
                  <w:pPr>
                    <w:pStyle w:val="20"/>
                    <w:rPr>
                      <w:b/>
                      <w:bCs/>
                    </w:rPr>
                  </w:pPr>
                  <w:r>
                    <w:rPr>
                      <w:b/>
                      <w:bCs/>
                    </w:rPr>
                    <w:t>主要内容</w:t>
                  </w:r>
                </w:p>
              </w:tc>
              <w:tc>
                <w:tcPr>
                  <w:tcW w:w="599" w:type="pct"/>
                  <w:vAlign w:val="center"/>
                </w:tcPr>
                <w:p>
                  <w:pPr>
                    <w:pStyle w:val="20"/>
                    <w:rPr>
                      <w:b/>
                      <w:bCs/>
                    </w:rPr>
                  </w:pPr>
                  <w:r>
                    <w:rPr>
                      <w:b/>
                      <w:bCs/>
                    </w:rPr>
                    <w:t>投资（万元）</w:t>
                  </w:r>
                </w:p>
              </w:tc>
              <w:tc>
                <w:tcPr>
                  <w:tcW w:w="831" w:type="pct"/>
                  <w:vAlign w:val="center"/>
                </w:tcPr>
                <w:p>
                  <w:pPr>
                    <w:pStyle w:val="20"/>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373" w:type="pct"/>
                  <w:vAlign w:val="center"/>
                </w:tcPr>
                <w:p>
                  <w:pPr>
                    <w:pStyle w:val="20"/>
                  </w:pPr>
                  <w:r>
                    <w:t>1</w:t>
                  </w:r>
                </w:p>
              </w:tc>
              <w:tc>
                <w:tcPr>
                  <w:tcW w:w="892" w:type="pct"/>
                  <w:vAlign w:val="center"/>
                </w:tcPr>
                <w:p>
                  <w:pPr>
                    <w:pStyle w:val="20"/>
                  </w:pPr>
                  <w:r>
                    <w:t>废水治理</w:t>
                  </w:r>
                </w:p>
              </w:tc>
              <w:tc>
                <w:tcPr>
                  <w:tcW w:w="2303" w:type="pct"/>
                  <w:vAlign w:val="center"/>
                </w:tcPr>
                <w:p>
                  <w:pPr>
                    <w:pStyle w:val="20"/>
                  </w:pPr>
                  <w:r>
                    <w:t>井下带罐作业；生活营地设置防渗污水收集池、生活污水拉运；试油期井下作业废水清运</w:t>
                  </w:r>
                </w:p>
              </w:tc>
              <w:tc>
                <w:tcPr>
                  <w:tcW w:w="599" w:type="pct"/>
                  <w:vAlign w:val="center"/>
                </w:tcPr>
                <w:p>
                  <w:pPr>
                    <w:pStyle w:val="20"/>
                  </w:pPr>
                  <w:r>
                    <w:rPr>
                      <w:rFonts w:hint="eastAsia"/>
                    </w:rPr>
                    <w:t>3</w:t>
                  </w:r>
                </w:p>
              </w:tc>
              <w:tc>
                <w:tcPr>
                  <w:tcW w:w="831" w:type="pct"/>
                  <w:vAlign w:val="center"/>
                </w:tcPr>
                <w:p>
                  <w:pPr>
                    <w:pStyle w:val="20"/>
                  </w:pPr>
                  <w:r>
                    <w:rPr>
                      <w:rFonts w:hint="eastAsia"/>
                    </w:rPr>
                    <w:t>1万/口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Align w:val="center"/>
                </w:tcPr>
                <w:p>
                  <w:pPr>
                    <w:pStyle w:val="20"/>
                  </w:pPr>
                  <w:r>
                    <w:rPr>
                      <w:rFonts w:hint="eastAsia"/>
                    </w:rPr>
                    <w:t>2</w:t>
                  </w:r>
                </w:p>
              </w:tc>
              <w:tc>
                <w:tcPr>
                  <w:tcW w:w="892" w:type="pct"/>
                  <w:vAlign w:val="center"/>
                </w:tcPr>
                <w:p>
                  <w:pPr>
                    <w:pStyle w:val="20"/>
                  </w:pPr>
                  <w:r>
                    <w:t>大气治理</w:t>
                  </w:r>
                </w:p>
              </w:tc>
              <w:tc>
                <w:tcPr>
                  <w:tcW w:w="2303" w:type="pct"/>
                  <w:vAlign w:val="center"/>
                </w:tcPr>
                <w:p>
                  <w:pPr>
                    <w:pStyle w:val="20"/>
                  </w:pPr>
                  <w:r>
                    <w:t>施工期定时洒水、钻井材料加盖篷布等</w:t>
                  </w:r>
                </w:p>
              </w:tc>
              <w:tc>
                <w:tcPr>
                  <w:tcW w:w="599" w:type="pct"/>
                  <w:vAlign w:val="center"/>
                </w:tcPr>
                <w:p>
                  <w:pPr>
                    <w:pStyle w:val="20"/>
                  </w:pPr>
                  <w:r>
                    <w:rPr>
                      <w:rFonts w:hint="eastAsia"/>
                    </w:rPr>
                    <w:t>3</w:t>
                  </w:r>
                </w:p>
              </w:tc>
              <w:tc>
                <w:tcPr>
                  <w:tcW w:w="831" w:type="pct"/>
                  <w:vAlign w:val="center"/>
                </w:tcPr>
                <w:p>
                  <w:pPr>
                    <w:pStyle w:val="20"/>
                  </w:pPr>
                  <w:r>
                    <w:rPr>
                      <w:rFonts w:hint="eastAsia"/>
                    </w:rPr>
                    <w:t>1万/口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Align w:val="center"/>
                </w:tcPr>
                <w:p>
                  <w:pPr>
                    <w:pStyle w:val="20"/>
                  </w:pPr>
                  <w:r>
                    <w:rPr>
                      <w:rFonts w:hint="eastAsia"/>
                    </w:rPr>
                    <w:t>3</w:t>
                  </w:r>
                </w:p>
              </w:tc>
              <w:tc>
                <w:tcPr>
                  <w:tcW w:w="892" w:type="pct"/>
                  <w:vAlign w:val="center"/>
                </w:tcPr>
                <w:p>
                  <w:pPr>
                    <w:pStyle w:val="20"/>
                  </w:pPr>
                  <w:r>
                    <w:t>噪声</w:t>
                  </w:r>
                </w:p>
              </w:tc>
              <w:tc>
                <w:tcPr>
                  <w:tcW w:w="2303" w:type="pct"/>
                  <w:vAlign w:val="center"/>
                </w:tcPr>
                <w:p>
                  <w:pPr>
                    <w:pStyle w:val="20"/>
                  </w:pPr>
                  <w:r>
                    <w:t>发电机、泥浆泵等设置隔声；为柴油机安装消声器和减震基础等</w:t>
                  </w:r>
                </w:p>
              </w:tc>
              <w:tc>
                <w:tcPr>
                  <w:tcW w:w="599" w:type="pct"/>
                  <w:vAlign w:val="center"/>
                </w:tcPr>
                <w:p>
                  <w:pPr>
                    <w:pStyle w:val="20"/>
                  </w:pPr>
                  <w:r>
                    <w:rPr>
                      <w:rFonts w:hint="eastAsia"/>
                    </w:rPr>
                    <w:t>3</w:t>
                  </w:r>
                </w:p>
              </w:tc>
              <w:tc>
                <w:tcPr>
                  <w:tcW w:w="831" w:type="pct"/>
                  <w:vAlign w:val="center"/>
                </w:tcPr>
                <w:p>
                  <w:pPr>
                    <w:pStyle w:val="20"/>
                  </w:pPr>
                  <w:r>
                    <w:rPr>
                      <w:rFonts w:hint="eastAsia"/>
                    </w:rPr>
                    <w:t>1万/口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Merge w:val="restart"/>
                  <w:vAlign w:val="center"/>
                </w:tcPr>
                <w:p>
                  <w:pPr>
                    <w:pStyle w:val="20"/>
                  </w:pPr>
                  <w:r>
                    <w:t>4</w:t>
                  </w:r>
                </w:p>
              </w:tc>
              <w:tc>
                <w:tcPr>
                  <w:tcW w:w="892" w:type="pct"/>
                  <w:vMerge w:val="restart"/>
                  <w:vAlign w:val="center"/>
                </w:tcPr>
                <w:p>
                  <w:pPr>
                    <w:pStyle w:val="20"/>
                  </w:pPr>
                  <w:r>
                    <w:t>固体废弃物</w:t>
                  </w:r>
                </w:p>
              </w:tc>
              <w:tc>
                <w:tcPr>
                  <w:tcW w:w="2303" w:type="pct"/>
                  <w:vAlign w:val="center"/>
                </w:tcPr>
                <w:p>
                  <w:pPr>
                    <w:pStyle w:val="20"/>
                  </w:pPr>
                  <w:r>
                    <w:t>钻井泥浆不落地技术</w:t>
                  </w:r>
                  <w:r>
                    <w:rPr>
                      <w:rFonts w:hint="eastAsia"/>
                    </w:rPr>
                    <w:t>装置，岩屑委托处理</w:t>
                  </w:r>
                </w:p>
              </w:tc>
              <w:tc>
                <w:tcPr>
                  <w:tcW w:w="599" w:type="pct"/>
                  <w:vAlign w:val="center"/>
                </w:tcPr>
                <w:p>
                  <w:pPr>
                    <w:pStyle w:val="20"/>
                  </w:pPr>
                  <w:r>
                    <w:rPr>
                      <w:rFonts w:hint="eastAsia"/>
                    </w:rPr>
                    <w:t>60</w:t>
                  </w:r>
                </w:p>
              </w:tc>
              <w:tc>
                <w:tcPr>
                  <w:tcW w:w="831" w:type="pct"/>
                  <w:vAlign w:val="center"/>
                </w:tcPr>
                <w:p>
                  <w:pPr>
                    <w:pStyle w:val="20"/>
                  </w:pPr>
                  <w:r>
                    <w:rPr>
                      <w:rFonts w:hint="eastAsia"/>
                    </w:rPr>
                    <w:t>20万/口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Merge w:val="continue"/>
                  <w:vAlign w:val="center"/>
                </w:tcPr>
                <w:p>
                  <w:pPr>
                    <w:pStyle w:val="20"/>
                  </w:pPr>
                </w:p>
              </w:tc>
              <w:tc>
                <w:tcPr>
                  <w:tcW w:w="892" w:type="pct"/>
                  <w:vMerge w:val="continue"/>
                  <w:vAlign w:val="center"/>
                </w:tcPr>
                <w:p>
                  <w:pPr>
                    <w:pStyle w:val="20"/>
                  </w:pPr>
                </w:p>
              </w:tc>
              <w:tc>
                <w:tcPr>
                  <w:tcW w:w="2303" w:type="pct"/>
                  <w:vAlign w:val="center"/>
                </w:tcPr>
                <w:p>
                  <w:pPr>
                    <w:pStyle w:val="20"/>
                  </w:pPr>
                  <w:r>
                    <w:rPr>
                      <w:szCs w:val="21"/>
                    </w:rPr>
                    <w:t>岩屑拉运、处理、落地油回收</w:t>
                  </w:r>
                  <w:r>
                    <w:rPr>
                      <w:rFonts w:hint="eastAsia"/>
                      <w:szCs w:val="21"/>
                    </w:rPr>
                    <w:t>；井场施工作业区地面铺设防渗膜</w:t>
                  </w:r>
                </w:p>
              </w:tc>
              <w:tc>
                <w:tcPr>
                  <w:tcW w:w="599" w:type="pct"/>
                  <w:vAlign w:val="center"/>
                </w:tcPr>
                <w:p>
                  <w:pPr>
                    <w:pStyle w:val="20"/>
                  </w:pPr>
                  <w:r>
                    <w:rPr>
                      <w:rFonts w:hint="eastAsia"/>
                    </w:rPr>
                    <w:t>6</w:t>
                  </w:r>
                </w:p>
              </w:tc>
              <w:tc>
                <w:tcPr>
                  <w:tcW w:w="831" w:type="pct"/>
                  <w:vAlign w:val="center"/>
                </w:tcPr>
                <w:p>
                  <w:pPr>
                    <w:pStyle w:val="20"/>
                  </w:pPr>
                  <w:r>
                    <w:rPr>
                      <w:rFonts w:hint="eastAsia"/>
                    </w:rPr>
                    <w:t>2万/口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Merge w:val="continue"/>
                  <w:vAlign w:val="center"/>
                </w:tcPr>
                <w:p>
                  <w:pPr>
                    <w:pStyle w:val="20"/>
                  </w:pPr>
                </w:p>
              </w:tc>
              <w:tc>
                <w:tcPr>
                  <w:tcW w:w="892" w:type="pct"/>
                  <w:vMerge w:val="continue"/>
                  <w:vAlign w:val="center"/>
                </w:tcPr>
                <w:p>
                  <w:pPr>
                    <w:pStyle w:val="20"/>
                  </w:pPr>
                </w:p>
              </w:tc>
              <w:tc>
                <w:tcPr>
                  <w:tcW w:w="2303" w:type="pct"/>
                  <w:vAlign w:val="center"/>
                </w:tcPr>
                <w:p>
                  <w:pPr>
                    <w:pStyle w:val="20"/>
                  </w:pPr>
                  <w:r>
                    <w:t>生活垃圾清运处置</w:t>
                  </w:r>
                </w:p>
              </w:tc>
              <w:tc>
                <w:tcPr>
                  <w:tcW w:w="599" w:type="pct"/>
                  <w:vAlign w:val="center"/>
                </w:tcPr>
                <w:p>
                  <w:pPr>
                    <w:pStyle w:val="20"/>
                  </w:pPr>
                  <w:r>
                    <w:rPr>
                      <w:rFonts w:hint="eastAsia"/>
                    </w:rPr>
                    <w:t>3</w:t>
                  </w:r>
                </w:p>
              </w:tc>
              <w:tc>
                <w:tcPr>
                  <w:tcW w:w="831" w:type="pct"/>
                  <w:vAlign w:val="center"/>
                </w:tcPr>
                <w:p>
                  <w:pPr>
                    <w:pStyle w:val="20"/>
                  </w:pPr>
                  <w:r>
                    <w:rPr>
                      <w:rFonts w:hint="eastAsia"/>
                    </w:rPr>
                    <w:t>1万/口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3" w:type="pct"/>
                  <w:vAlign w:val="center"/>
                </w:tcPr>
                <w:p>
                  <w:pPr>
                    <w:pStyle w:val="20"/>
                  </w:pPr>
                  <w:r>
                    <w:t>5</w:t>
                  </w:r>
                </w:p>
              </w:tc>
              <w:tc>
                <w:tcPr>
                  <w:tcW w:w="892" w:type="pct"/>
                  <w:vAlign w:val="center"/>
                </w:tcPr>
                <w:p>
                  <w:pPr>
                    <w:pStyle w:val="20"/>
                  </w:pPr>
                  <w:r>
                    <w:t>风险防范</w:t>
                  </w:r>
                </w:p>
              </w:tc>
              <w:tc>
                <w:tcPr>
                  <w:tcW w:w="2303" w:type="pct"/>
                  <w:vAlign w:val="center"/>
                </w:tcPr>
                <w:p>
                  <w:pPr>
                    <w:pStyle w:val="20"/>
                  </w:pPr>
                  <w:r>
                    <w:t>井口防喷器、放喷管线、放喷池</w:t>
                  </w:r>
                </w:p>
              </w:tc>
              <w:tc>
                <w:tcPr>
                  <w:tcW w:w="599" w:type="pct"/>
                  <w:vAlign w:val="center"/>
                </w:tcPr>
                <w:p>
                  <w:pPr>
                    <w:pStyle w:val="20"/>
                  </w:pPr>
                  <w:r>
                    <w:rPr>
                      <w:rFonts w:hint="eastAsia"/>
                    </w:rPr>
                    <w:t>21.6</w:t>
                  </w:r>
                </w:p>
              </w:tc>
              <w:tc>
                <w:tcPr>
                  <w:tcW w:w="831" w:type="pct"/>
                  <w:vAlign w:val="center"/>
                </w:tcPr>
                <w:p>
                  <w:pPr>
                    <w:pStyle w:val="20"/>
                  </w:pPr>
                  <w:r>
                    <w:t>钻井期×8000元/d×0.3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73" w:type="pct"/>
                  <w:vAlign w:val="center"/>
                </w:tcPr>
                <w:p>
                  <w:pPr>
                    <w:pStyle w:val="20"/>
                  </w:pPr>
                  <w:r>
                    <w:t>6</w:t>
                  </w:r>
                </w:p>
              </w:tc>
              <w:tc>
                <w:tcPr>
                  <w:tcW w:w="892" w:type="pct"/>
                  <w:vAlign w:val="center"/>
                </w:tcPr>
                <w:p>
                  <w:pPr>
                    <w:pStyle w:val="20"/>
                  </w:pPr>
                  <w:r>
                    <w:t>生态措施</w:t>
                  </w:r>
                </w:p>
              </w:tc>
              <w:tc>
                <w:tcPr>
                  <w:tcW w:w="2303" w:type="pct"/>
                  <w:vAlign w:val="center"/>
                </w:tcPr>
                <w:p>
                  <w:pPr>
                    <w:pStyle w:val="20"/>
                  </w:pPr>
                  <w:r>
                    <w:rPr>
                      <w:rFonts w:hint="eastAsia"/>
                    </w:rPr>
                    <w:t>防沙治沙措施、完井后及时平整井场，对临时占地进行恢复</w:t>
                  </w:r>
                  <w:r>
                    <w:rPr>
                      <w:rFonts w:hint="eastAsia"/>
                      <w:kern w:val="0"/>
                      <w:szCs w:val="21"/>
                    </w:rPr>
                    <w:t>。</w:t>
                  </w:r>
                </w:p>
              </w:tc>
              <w:tc>
                <w:tcPr>
                  <w:tcW w:w="599" w:type="pct"/>
                  <w:vAlign w:val="center"/>
                </w:tcPr>
                <w:p>
                  <w:pPr>
                    <w:pStyle w:val="20"/>
                  </w:pPr>
                  <w:r>
                    <w:rPr>
                      <w:rFonts w:hint="eastAsia"/>
                    </w:rPr>
                    <w:t>15</w:t>
                  </w:r>
                </w:p>
              </w:tc>
              <w:tc>
                <w:tcPr>
                  <w:tcW w:w="831" w:type="pct"/>
                  <w:vAlign w:val="center"/>
                </w:tcPr>
                <w:p>
                  <w:pPr>
                    <w:pStyle w:val="20"/>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65" w:type="pct"/>
                  <w:gridSpan w:val="2"/>
                  <w:vAlign w:val="center"/>
                </w:tcPr>
                <w:p>
                  <w:pPr>
                    <w:pStyle w:val="20"/>
                  </w:pPr>
                  <w:r>
                    <w:t>总计</w:t>
                  </w:r>
                </w:p>
              </w:tc>
              <w:tc>
                <w:tcPr>
                  <w:tcW w:w="2303" w:type="pct"/>
                  <w:vAlign w:val="center"/>
                </w:tcPr>
                <w:p>
                  <w:pPr>
                    <w:pStyle w:val="20"/>
                  </w:pPr>
                  <w:r>
                    <w:t>/</w:t>
                  </w:r>
                </w:p>
              </w:tc>
              <w:tc>
                <w:tcPr>
                  <w:tcW w:w="599" w:type="pct"/>
                  <w:vAlign w:val="center"/>
                </w:tcPr>
                <w:p>
                  <w:pPr>
                    <w:pStyle w:val="20"/>
                  </w:pPr>
                  <w:r>
                    <w:rPr>
                      <w:rFonts w:hint="eastAsia"/>
                    </w:rPr>
                    <w:t>116.6</w:t>
                  </w:r>
                </w:p>
              </w:tc>
              <w:tc>
                <w:tcPr>
                  <w:tcW w:w="831" w:type="pct"/>
                  <w:vAlign w:val="center"/>
                </w:tcPr>
                <w:p>
                  <w:pPr>
                    <w:pStyle w:val="20"/>
                  </w:pPr>
                </w:p>
              </w:tc>
            </w:tr>
          </w:tbl>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0" w:firstLineChars="0"/>
              <w:rPr>
                <w:bCs/>
                <w:spacing w:val="10"/>
                <w:szCs w:val="21"/>
              </w:rPr>
            </w:pPr>
          </w:p>
        </w:tc>
      </w:tr>
    </w:tbl>
    <w:p>
      <w:pPr>
        <w:ind w:firstLine="480"/>
        <w:sectPr>
          <w:pgSz w:w="11907" w:h="16840"/>
          <w:pgMar w:top="1440" w:right="1797" w:bottom="1440" w:left="1797" w:header="851" w:footer="1077" w:gutter="0"/>
          <w:cols w:space="720" w:num="1"/>
          <w:docGrid w:linePitch="312" w:charSpace="0"/>
        </w:sectPr>
      </w:pPr>
    </w:p>
    <w:p>
      <w:pPr>
        <w:ind w:firstLine="600"/>
        <w:jc w:val="center"/>
        <w:outlineLvl w:val="0"/>
        <w:rPr>
          <w:rFonts w:eastAsia="黑体"/>
          <w:snapToGrid w:val="0"/>
          <w:sz w:val="30"/>
          <w:szCs w:val="30"/>
        </w:rPr>
      </w:pPr>
      <w:bookmarkStart w:id="58" w:name="_Toc4872"/>
      <w:r>
        <w:rPr>
          <w:rFonts w:eastAsia="黑体"/>
          <w:snapToGrid w:val="0"/>
          <w:sz w:val="30"/>
          <w:szCs w:val="30"/>
        </w:rPr>
        <w:t>六、生态环境保护措施监督检查清单</w:t>
      </w:r>
      <w:bookmarkEnd w:id="58"/>
    </w:p>
    <w:tbl>
      <w:tblPr>
        <w:tblStyle w:val="1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51"/>
        <w:gridCol w:w="2550"/>
        <w:gridCol w:w="2782"/>
        <w:gridCol w:w="943"/>
        <w:gridCol w:w="7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851" w:type="pct"/>
            <w:vMerge w:val="restart"/>
            <w:tcBorders>
              <w:tl2br w:val="single" w:color="auto" w:sz="4" w:space="0"/>
            </w:tcBorders>
          </w:tcPr>
          <w:p>
            <w:pPr>
              <w:spacing w:line="240" w:lineRule="auto"/>
              <w:ind w:firstLine="630" w:firstLineChars="300"/>
              <w:outlineLvl w:val="0"/>
              <w:rPr>
                <w:rFonts w:eastAsia="黑体"/>
                <w:sz w:val="21"/>
                <w:szCs w:val="21"/>
              </w:rPr>
            </w:pPr>
            <w:bookmarkStart w:id="59" w:name="_Toc30985"/>
            <w:r>
              <w:rPr>
                <w:rFonts w:eastAsia="黑体"/>
                <w:sz w:val="21"/>
                <w:szCs w:val="21"/>
              </w:rPr>
              <w:t>内容</w:t>
            </w:r>
            <w:bookmarkEnd w:id="59"/>
          </w:p>
          <w:p>
            <w:pPr>
              <w:spacing w:line="240" w:lineRule="auto"/>
              <w:ind w:firstLine="0" w:firstLineChars="0"/>
              <w:rPr>
                <w:rFonts w:eastAsia="黑体"/>
                <w:sz w:val="21"/>
                <w:szCs w:val="21"/>
              </w:rPr>
            </w:pPr>
          </w:p>
          <w:p>
            <w:pPr>
              <w:spacing w:line="240" w:lineRule="auto"/>
              <w:ind w:firstLine="0" w:firstLineChars="0"/>
              <w:outlineLvl w:val="0"/>
              <w:rPr>
                <w:rFonts w:eastAsia="黑体"/>
                <w:sz w:val="21"/>
                <w:szCs w:val="21"/>
              </w:rPr>
            </w:pPr>
            <w:bookmarkStart w:id="60" w:name="_Toc28874"/>
            <w:r>
              <w:rPr>
                <w:rFonts w:eastAsia="黑体"/>
                <w:sz w:val="21"/>
                <w:szCs w:val="21"/>
              </w:rPr>
              <w:t>要素</w:t>
            </w:r>
            <w:bookmarkEnd w:id="60"/>
          </w:p>
        </w:tc>
        <w:tc>
          <w:tcPr>
            <w:tcW w:w="3128" w:type="pct"/>
            <w:gridSpan w:val="2"/>
            <w:vAlign w:val="center"/>
          </w:tcPr>
          <w:p>
            <w:pPr>
              <w:spacing w:line="240" w:lineRule="auto"/>
              <w:ind w:firstLine="0" w:firstLineChars="0"/>
              <w:jc w:val="center"/>
              <w:outlineLvl w:val="0"/>
              <w:rPr>
                <w:rFonts w:eastAsia="黑体"/>
                <w:sz w:val="21"/>
                <w:szCs w:val="21"/>
              </w:rPr>
            </w:pPr>
            <w:bookmarkStart w:id="61" w:name="_Toc10600"/>
            <w:r>
              <w:rPr>
                <w:rFonts w:eastAsia="黑体"/>
                <w:sz w:val="21"/>
                <w:szCs w:val="21"/>
              </w:rPr>
              <w:t>施工期</w:t>
            </w:r>
            <w:bookmarkEnd w:id="61"/>
          </w:p>
        </w:tc>
        <w:tc>
          <w:tcPr>
            <w:tcW w:w="1020" w:type="pct"/>
            <w:gridSpan w:val="2"/>
            <w:vAlign w:val="center"/>
          </w:tcPr>
          <w:p>
            <w:pPr>
              <w:spacing w:line="240" w:lineRule="auto"/>
              <w:ind w:firstLine="0" w:firstLineChars="0"/>
              <w:jc w:val="center"/>
              <w:outlineLvl w:val="0"/>
              <w:rPr>
                <w:rFonts w:eastAsia="黑体"/>
                <w:sz w:val="21"/>
                <w:szCs w:val="21"/>
              </w:rPr>
            </w:pPr>
            <w:bookmarkStart w:id="62" w:name="_Toc2143"/>
            <w:r>
              <w:rPr>
                <w:rFonts w:eastAsia="黑体"/>
                <w:sz w:val="21"/>
                <w:szCs w:val="21"/>
              </w:rPr>
              <w:t>运营期</w:t>
            </w:r>
            <w:bookmarkEnd w:id="6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51" w:type="pct"/>
            <w:vMerge w:val="continue"/>
          </w:tcPr>
          <w:p>
            <w:pPr>
              <w:spacing w:line="240" w:lineRule="auto"/>
              <w:ind w:firstLine="0" w:firstLineChars="0"/>
              <w:jc w:val="center"/>
              <w:rPr>
                <w:rFonts w:eastAsia="黑体"/>
                <w:sz w:val="21"/>
                <w:szCs w:val="21"/>
              </w:rPr>
            </w:pPr>
          </w:p>
        </w:tc>
        <w:tc>
          <w:tcPr>
            <w:tcW w:w="1496" w:type="pct"/>
            <w:vAlign w:val="center"/>
          </w:tcPr>
          <w:p>
            <w:pPr>
              <w:spacing w:line="240" w:lineRule="auto"/>
              <w:ind w:firstLine="0" w:firstLineChars="0"/>
              <w:jc w:val="center"/>
              <w:outlineLvl w:val="0"/>
              <w:rPr>
                <w:rFonts w:eastAsia="黑体"/>
                <w:sz w:val="21"/>
                <w:szCs w:val="21"/>
              </w:rPr>
            </w:pPr>
            <w:bookmarkStart w:id="63" w:name="_Toc22452"/>
            <w:r>
              <w:rPr>
                <w:rFonts w:eastAsia="黑体"/>
                <w:sz w:val="21"/>
                <w:szCs w:val="21"/>
              </w:rPr>
              <w:t>环境保护措施</w:t>
            </w:r>
            <w:bookmarkEnd w:id="63"/>
          </w:p>
        </w:tc>
        <w:tc>
          <w:tcPr>
            <w:tcW w:w="1632" w:type="pct"/>
            <w:vAlign w:val="center"/>
          </w:tcPr>
          <w:p>
            <w:pPr>
              <w:spacing w:line="240" w:lineRule="auto"/>
              <w:ind w:firstLine="0" w:firstLineChars="0"/>
              <w:jc w:val="center"/>
              <w:outlineLvl w:val="0"/>
              <w:rPr>
                <w:rFonts w:eastAsia="黑体"/>
                <w:sz w:val="21"/>
                <w:szCs w:val="21"/>
              </w:rPr>
            </w:pPr>
            <w:bookmarkStart w:id="64" w:name="_Toc20726"/>
            <w:r>
              <w:rPr>
                <w:rFonts w:eastAsia="黑体"/>
                <w:sz w:val="21"/>
                <w:szCs w:val="21"/>
              </w:rPr>
              <w:t>验收要求</w:t>
            </w:r>
            <w:bookmarkEnd w:id="64"/>
          </w:p>
        </w:tc>
        <w:tc>
          <w:tcPr>
            <w:tcW w:w="553" w:type="pct"/>
            <w:vAlign w:val="center"/>
          </w:tcPr>
          <w:p>
            <w:pPr>
              <w:spacing w:line="240" w:lineRule="auto"/>
              <w:ind w:firstLine="0" w:firstLineChars="0"/>
              <w:jc w:val="center"/>
              <w:outlineLvl w:val="0"/>
              <w:rPr>
                <w:rFonts w:eastAsia="黑体"/>
                <w:sz w:val="21"/>
                <w:szCs w:val="21"/>
              </w:rPr>
            </w:pPr>
            <w:bookmarkStart w:id="65" w:name="_Toc27550"/>
            <w:r>
              <w:rPr>
                <w:rFonts w:eastAsia="黑体"/>
                <w:sz w:val="21"/>
                <w:szCs w:val="21"/>
              </w:rPr>
              <w:t>环境保护措施</w:t>
            </w:r>
            <w:bookmarkEnd w:id="65"/>
          </w:p>
        </w:tc>
        <w:tc>
          <w:tcPr>
            <w:tcW w:w="467" w:type="pct"/>
            <w:vAlign w:val="center"/>
          </w:tcPr>
          <w:p>
            <w:pPr>
              <w:spacing w:line="240" w:lineRule="auto"/>
              <w:ind w:firstLine="0" w:firstLineChars="0"/>
              <w:jc w:val="center"/>
              <w:outlineLvl w:val="0"/>
              <w:rPr>
                <w:rFonts w:eastAsia="黑体"/>
                <w:sz w:val="21"/>
                <w:szCs w:val="21"/>
              </w:rPr>
            </w:pPr>
            <w:bookmarkStart w:id="66" w:name="_Toc5071"/>
            <w:r>
              <w:rPr>
                <w:rFonts w:eastAsia="黑体"/>
                <w:sz w:val="21"/>
                <w:szCs w:val="21"/>
              </w:rPr>
              <w:t>验收要求</w:t>
            </w:r>
            <w:bookmarkEnd w:id="66"/>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陆生生态</w:t>
            </w:r>
          </w:p>
        </w:tc>
        <w:tc>
          <w:tcPr>
            <w:tcW w:w="1496" w:type="pct"/>
            <w:vAlign w:val="center"/>
          </w:tcPr>
          <w:p>
            <w:pPr>
              <w:spacing w:line="240" w:lineRule="auto"/>
              <w:ind w:firstLine="0" w:firstLineChars="0"/>
              <w:jc w:val="center"/>
              <w:rPr>
                <w:sz w:val="21"/>
                <w:szCs w:val="21"/>
              </w:rPr>
            </w:pPr>
            <w:r>
              <w:rPr>
                <w:rFonts w:hint="eastAsia"/>
                <w:sz w:val="21"/>
                <w:szCs w:val="21"/>
              </w:rPr>
              <w:t>临时占地清理平整，植被自然恢复</w:t>
            </w:r>
          </w:p>
        </w:tc>
        <w:tc>
          <w:tcPr>
            <w:tcW w:w="1632" w:type="pct"/>
            <w:vAlign w:val="center"/>
          </w:tcPr>
          <w:p>
            <w:pPr>
              <w:spacing w:line="240" w:lineRule="auto"/>
              <w:ind w:firstLine="0" w:firstLineChars="0"/>
              <w:jc w:val="center"/>
              <w:rPr>
                <w:sz w:val="21"/>
                <w:szCs w:val="21"/>
              </w:rPr>
            </w:pPr>
            <w:r>
              <w:rPr>
                <w:rFonts w:hint="eastAsia"/>
                <w:sz w:val="21"/>
                <w:szCs w:val="21"/>
              </w:rPr>
              <w:t>临时占地清理平整，植被自然恢复</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水生生态</w:t>
            </w:r>
          </w:p>
        </w:tc>
        <w:tc>
          <w:tcPr>
            <w:tcW w:w="1496" w:type="pct"/>
            <w:vAlign w:val="center"/>
          </w:tcPr>
          <w:p>
            <w:pPr>
              <w:spacing w:line="240" w:lineRule="auto"/>
              <w:ind w:firstLine="0" w:firstLineChars="0"/>
              <w:jc w:val="center"/>
              <w:rPr>
                <w:sz w:val="21"/>
                <w:szCs w:val="21"/>
              </w:rPr>
            </w:pPr>
            <w:r>
              <w:rPr>
                <w:sz w:val="21"/>
                <w:szCs w:val="21"/>
              </w:rPr>
              <w:t>-</w:t>
            </w:r>
          </w:p>
        </w:tc>
        <w:tc>
          <w:tcPr>
            <w:tcW w:w="1632" w:type="pct"/>
            <w:vAlign w:val="center"/>
          </w:tcPr>
          <w:p>
            <w:pPr>
              <w:spacing w:line="240" w:lineRule="auto"/>
              <w:ind w:firstLine="0" w:firstLineChars="0"/>
              <w:jc w:val="center"/>
              <w:rPr>
                <w:sz w:val="21"/>
                <w:szCs w:val="21"/>
              </w:rPr>
            </w:pPr>
            <w:r>
              <w:rPr>
                <w:sz w:val="21"/>
                <w:szCs w:val="21"/>
              </w:rPr>
              <w:t>-</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地表水环境</w:t>
            </w:r>
          </w:p>
        </w:tc>
        <w:tc>
          <w:tcPr>
            <w:tcW w:w="1496" w:type="pct"/>
            <w:vAlign w:val="center"/>
          </w:tcPr>
          <w:p>
            <w:pPr>
              <w:spacing w:line="240" w:lineRule="auto"/>
              <w:ind w:firstLine="0" w:firstLineChars="0"/>
              <w:jc w:val="center"/>
              <w:rPr>
                <w:sz w:val="21"/>
                <w:szCs w:val="21"/>
              </w:rPr>
            </w:pPr>
            <w:r>
              <w:rPr>
                <w:sz w:val="21"/>
                <w:szCs w:val="21"/>
              </w:rPr>
              <w:t>-</w:t>
            </w:r>
          </w:p>
        </w:tc>
        <w:tc>
          <w:tcPr>
            <w:tcW w:w="1632" w:type="pct"/>
            <w:vAlign w:val="center"/>
          </w:tcPr>
          <w:p>
            <w:pPr>
              <w:spacing w:line="240" w:lineRule="auto"/>
              <w:ind w:firstLine="0" w:firstLineChars="0"/>
              <w:jc w:val="center"/>
              <w:rPr>
                <w:sz w:val="21"/>
                <w:szCs w:val="21"/>
              </w:rPr>
            </w:pPr>
            <w:r>
              <w:rPr>
                <w:sz w:val="21"/>
                <w:szCs w:val="21"/>
              </w:rPr>
              <w:t>-</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Merge w:val="restart"/>
            <w:vAlign w:val="center"/>
          </w:tcPr>
          <w:p>
            <w:pPr>
              <w:spacing w:line="240" w:lineRule="auto"/>
              <w:ind w:firstLine="0" w:firstLineChars="0"/>
              <w:jc w:val="center"/>
              <w:rPr>
                <w:sz w:val="21"/>
                <w:szCs w:val="21"/>
              </w:rPr>
            </w:pPr>
            <w:r>
              <w:rPr>
                <w:sz w:val="21"/>
                <w:szCs w:val="21"/>
              </w:rPr>
              <w:t>地下水及土壤环境</w:t>
            </w:r>
          </w:p>
        </w:tc>
        <w:tc>
          <w:tcPr>
            <w:tcW w:w="1496" w:type="pct"/>
            <w:vAlign w:val="center"/>
          </w:tcPr>
          <w:p>
            <w:pPr>
              <w:spacing w:line="240" w:lineRule="auto"/>
              <w:ind w:firstLine="0" w:firstLineChars="0"/>
              <w:jc w:val="center"/>
              <w:rPr>
                <w:sz w:val="21"/>
                <w:szCs w:val="21"/>
              </w:rPr>
            </w:pPr>
            <w:r>
              <w:rPr>
                <w:rFonts w:hint="eastAsia"/>
                <w:sz w:val="21"/>
                <w:szCs w:val="21"/>
              </w:rPr>
              <w:t>洗井废水</w:t>
            </w:r>
            <w:r>
              <w:rPr>
                <w:sz w:val="21"/>
                <w:szCs w:val="21"/>
              </w:rPr>
              <w:t>：作业单位自带回收罐回收，拉运至</w:t>
            </w:r>
            <w:r>
              <w:rPr>
                <w:rFonts w:hint="eastAsia"/>
                <w:sz w:val="21"/>
                <w:szCs w:val="21"/>
              </w:rPr>
              <w:t>乌尔禾稀油处理站</w:t>
            </w:r>
            <w:r>
              <w:rPr>
                <w:sz w:val="21"/>
                <w:szCs w:val="21"/>
              </w:rPr>
              <w:t>处理后回注油藏</w:t>
            </w:r>
          </w:p>
        </w:tc>
        <w:tc>
          <w:tcPr>
            <w:tcW w:w="1632" w:type="pct"/>
            <w:vAlign w:val="center"/>
          </w:tcPr>
          <w:p>
            <w:pPr>
              <w:spacing w:line="240" w:lineRule="auto"/>
              <w:ind w:firstLine="0" w:firstLineChars="0"/>
              <w:jc w:val="center"/>
              <w:rPr>
                <w:sz w:val="21"/>
                <w:szCs w:val="21"/>
              </w:rPr>
            </w:pPr>
            <w:r>
              <w:rPr>
                <w:rFonts w:hint="eastAsia"/>
                <w:sz w:val="21"/>
                <w:szCs w:val="21"/>
              </w:rPr>
              <w:t>洗井废水</w:t>
            </w:r>
            <w:r>
              <w:rPr>
                <w:sz w:val="21"/>
                <w:szCs w:val="21"/>
              </w:rPr>
              <w:t>：作业单位自带回收罐回收，拉运至</w:t>
            </w:r>
            <w:r>
              <w:rPr>
                <w:rFonts w:hint="eastAsia"/>
                <w:sz w:val="21"/>
                <w:szCs w:val="21"/>
              </w:rPr>
              <w:t>乌尔禾稀油处理站</w:t>
            </w:r>
            <w:r>
              <w:rPr>
                <w:sz w:val="21"/>
                <w:szCs w:val="21"/>
              </w:rPr>
              <w:t>处理后回注油藏</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0"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Merge w:val="restart"/>
            <w:vAlign w:val="center"/>
          </w:tcPr>
          <w:p>
            <w:pPr>
              <w:spacing w:line="240" w:lineRule="auto"/>
              <w:ind w:firstLine="0" w:firstLineChars="0"/>
              <w:jc w:val="center"/>
              <w:rPr>
                <w:sz w:val="21"/>
                <w:szCs w:val="21"/>
              </w:rPr>
            </w:pPr>
            <w:r>
              <w:rPr>
                <w:sz w:val="21"/>
                <w:szCs w:val="21"/>
              </w:rPr>
              <w:t>生活污水：排入防渗污水收集池，定期由吸污车拉运至乌尔禾污水处理厂处理</w:t>
            </w:r>
          </w:p>
        </w:tc>
        <w:tc>
          <w:tcPr>
            <w:tcW w:w="1632" w:type="pct"/>
            <w:vMerge w:val="restart"/>
            <w:vAlign w:val="center"/>
          </w:tcPr>
          <w:p>
            <w:pPr>
              <w:spacing w:line="240" w:lineRule="auto"/>
              <w:ind w:firstLine="0" w:firstLineChars="0"/>
              <w:jc w:val="center"/>
              <w:rPr>
                <w:sz w:val="21"/>
                <w:szCs w:val="21"/>
              </w:rPr>
            </w:pPr>
            <w:r>
              <w:rPr>
                <w:sz w:val="21"/>
                <w:szCs w:val="21"/>
              </w:rPr>
              <w:t>生活污水：排入防渗污水收集池，定期由吸污车拉运至乌尔禾区污水处理厂处理</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Merge w:val="continue"/>
            <w:vAlign w:val="center"/>
          </w:tcPr>
          <w:p>
            <w:pPr>
              <w:spacing w:line="240" w:lineRule="auto"/>
              <w:ind w:firstLine="0" w:firstLineChars="0"/>
              <w:jc w:val="center"/>
              <w:rPr>
                <w:sz w:val="21"/>
                <w:szCs w:val="21"/>
              </w:rPr>
            </w:pPr>
          </w:p>
        </w:tc>
        <w:tc>
          <w:tcPr>
            <w:tcW w:w="1632" w:type="pct"/>
            <w:vMerge w:val="continue"/>
            <w:vAlign w:val="center"/>
          </w:tcPr>
          <w:p>
            <w:pPr>
              <w:spacing w:line="240" w:lineRule="auto"/>
              <w:ind w:firstLine="0" w:firstLineChars="0"/>
              <w:jc w:val="center"/>
              <w:rPr>
                <w:sz w:val="21"/>
                <w:szCs w:val="21"/>
              </w:rPr>
            </w:pP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声环境</w:t>
            </w:r>
          </w:p>
        </w:tc>
        <w:tc>
          <w:tcPr>
            <w:tcW w:w="1496" w:type="pct"/>
            <w:vAlign w:val="center"/>
          </w:tcPr>
          <w:p>
            <w:pPr>
              <w:spacing w:line="240" w:lineRule="auto"/>
              <w:ind w:firstLine="0" w:firstLineChars="0"/>
              <w:rPr>
                <w:sz w:val="21"/>
                <w:szCs w:val="21"/>
              </w:rPr>
            </w:pPr>
            <w:r>
              <w:rPr>
                <w:sz w:val="21"/>
                <w:szCs w:val="21"/>
              </w:rPr>
              <w:t>高噪声设备采取基础减振、隔声措施</w:t>
            </w:r>
          </w:p>
        </w:tc>
        <w:tc>
          <w:tcPr>
            <w:tcW w:w="1632" w:type="pct"/>
            <w:vAlign w:val="center"/>
          </w:tcPr>
          <w:p>
            <w:pPr>
              <w:spacing w:line="240" w:lineRule="auto"/>
              <w:ind w:firstLine="0" w:firstLineChars="0"/>
              <w:jc w:val="center"/>
              <w:rPr>
                <w:sz w:val="21"/>
                <w:szCs w:val="21"/>
              </w:rPr>
            </w:pPr>
            <w:r>
              <w:rPr>
                <w:sz w:val="21"/>
                <w:szCs w:val="21"/>
              </w:rPr>
              <w:t>高噪声设备采取基础减振、隔声措施</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振动</w:t>
            </w:r>
          </w:p>
        </w:tc>
        <w:tc>
          <w:tcPr>
            <w:tcW w:w="1496" w:type="pct"/>
            <w:vAlign w:val="center"/>
          </w:tcPr>
          <w:p>
            <w:pPr>
              <w:spacing w:line="240" w:lineRule="auto"/>
              <w:ind w:firstLine="0" w:firstLineChars="0"/>
              <w:jc w:val="center"/>
              <w:rPr>
                <w:sz w:val="21"/>
                <w:szCs w:val="21"/>
              </w:rPr>
            </w:pPr>
            <w:r>
              <w:rPr>
                <w:sz w:val="21"/>
                <w:szCs w:val="21"/>
              </w:rPr>
              <w:t>-</w:t>
            </w:r>
          </w:p>
        </w:tc>
        <w:tc>
          <w:tcPr>
            <w:tcW w:w="1632" w:type="pct"/>
            <w:vAlign w:val="center"/>
          </w:tcPr>
          <w:p>
            <w:pPr>
              <w:spacing w:line="240" w:lineRule="auto"/>
              <w:ind w:firstLine="0" w:firstLineChars="0"/>
              <w:jc w:val="center"/>
              <w:rPr>
                <w:sz w:val="21"/>
                <w:szCs w:val="21"/>
              </w:rPr>
            </w:pPr>
            <w:r>
              <w:rPr>
                <w:sz w:val="21"/>
                <w:szCs w:val="21"/>
              </w:rPr>
              <w:t>-</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51" w:type="pct"/>
            <w:vAlign w:val="center"/>
          </w:tcPr>
          <w:p>
            <w:pPr>
              <w:spacing w:line="240" w:lineRule="auto"/>
              <w:ind w:firstLine="0" w:firstLineChars="0"/>
              <w:jc w:val="center"/>
              <w:rPr>
                <w:sz w:val="21"/>
                <w:szCs w:val="21"/>
              </w:rPr>
            </w:pPr>
            <w:r>
              <w:rPr>
                <w:sz w:val="21"/>
                <w:szCs w:val="21"/>
              </w:rPr>
              <w:t>大气环境</w:t>
            </w:r>
          </w:p>
        </w:tc>
        <w:tc>
          <w:tcPr>
            <w:tcW w:w="1496" w:type="pct"/>
            <w:vAlign w:val="center"/>
          </w:tcPr>
          <w:p>
            <w:pPr>
              <w:spacing w:line="240" w:lineRule="auto"/>
              <w:ind w:firstLine="0" w:firstLineChars="0"/>
              <w:jc w:val="center"/>
              <w:rPr>
                <w:sz w:val="21"/>
                <w:szCs w:val="21"/>
              </w:rPr>
            </w:pPr>
            <w:r>
              <w:rPr>
                <w:sz w:val="21"/>
                <w:szCs w:val="21"/>
              </w:rPr>
              <w:t>柴油废气：使用达标柴油，加强设备维护；</w:t>
            </w:r>
          </w:p>
          <w:p>
            <w:pPr>
              <w:spacing w:line="240" w:lineRule="auto"/>
              <w:ind w:firstLine="0" w:firstLineChars="0"/>
              <w:jc w:val="center"/>
              <w:rPr>
                <w:sz w:val="21"/>
                <w:szCs w:val="21"/>
              </w:rPr>
            </w:pPr>
            <w:r>
              <w:rPr>
                <w:sz w:val="21"/>
                <w:szCs w:val="21"/>
              </w:rPr>
              <w:t>扬尘：对易起尘物料遮盖，加强车辆管理；</w:t>
            </w:r>
          </w:p>
          <w:p>
            <w:pPr>
              <w:spacing w:line="240" w:lineRule="auto"/>
              <w:ind w:firstLine="0" w:firstLineChars="0"/>
              <w:jc w:val="center"/>
              <w:rPr>
                <w:sz w:val="21"/>
                <w:szCs w:val="21"/>
              </w:rPr>
            </w:pPr>
            <w:r>
              <w:rPr>
                <w:sz w:val="21"/>
                <w:szCs w:val="21"/>
              </w:rPr>
              <w:t>施工机械废气、运输车辆尾气：选用合格油品，加强车辆管理；</w:t>
            </w:r>
          </w:p>
          <w:p>
            <w:pPr>
              <w:spacing w:line="240" w:lineRule="auto"/>
              <w:ind w:firstLine="0" w:firstLineChars="0"/>
              <w:jc w:val="center"/>
              <w:rPr>
                <w:sz w:val="21"/>
                <w:szCs w:val="21"/>
              </w:rPr>
            </w:pPr>
            <w:r>
              <w:rPr>
                <w:sz w:val="21"/>
                <w:szCs w:val="21"/>
              </w:rPr>
              <w:t>伴生气：放散管燃放</w:t>
            </w:r>
          </w:p>
          <w:p>
            <w:pPr>
              <w:spacing w:line="240" w:lineRule="auto"/>
              <w:ind w:firstLine="0" w:firstLineChars="0"/>
              <w:jc w:val="center"/>
            </w:pPr>
            <w:r>
              <w:rPr>
                <w:sz w:val="21"/>
                <w:szCs w:val="21"/>
              </w:rPr>
              <w:t>临时储罐废气和采出液装卸废气：通过密闭底部装载方式减少废气的排放</w:t>
            </w:r>
          </w:p>
        </w:tc>
        <w:tc>
          <w:tcPr>
            <w:tcW w:w="1632" w:type="pct"/>
            <w:vAlign w:val="center"/>
          </w:tcPr>
          <w:p>
            <w:pPr>
              <w:spacing w:line="240" w:lineRule="auto"/>
              <w:ind w:firstLine="0" w:firstLineChars="0"/>
              <w:jc w:val="center"/>
              <w:rPr>
                <w:sz w:val="21"/>
                <w:szCs w:val="21"/>
              </w:rPr>
            </w:pPr>
            <w:r>
              <w:rPr>
                <w:sz w:val="21"/>
                <w:szCs w:val="21"/>
              </w:rPr>
              <w:t>柴油废气：使用达标柴油，加强设备维护；</w:t>
            </w:r>
          </w:p>
          <w:p>
            <w:pPr>
              <w:spacing w:line="240" w:lineRule="auto"/>
              <w:ind w:firstLine="0" w:firstLineChars="0"/>
              <w:jc w:val="center"/>
              <w:rPr>
                <w:sz w:val="21"/>
                <w:szCs w:val="21"/>
              </w:rPr>
            </w:pPr>
            <w:r>
              <w:rPr>
                <w:sz w:val="21"/>
                <w:szCs w:val="21"/>
              </w:rPr>
              <w:t>扬尘：对易起尘物料遮盖，加强车辆管理；</w:t>
            </w:r>
          </w:p>
          <w:p>
            <w:pPr>
              <w:spacing w:line="240" w:lineRule="auto"/>
              <w:ind w:firstLine="0" w:firstLineChars="0"/>
              <w:jc w:val="center"/>
              <w:rPr>
                <w:sz w:val="21"/>
                <w:szCs w:val="21"/>
              </w:rPr>
            </w:pPr>
            <w:r>
              <w:rPr>
                <w:sz w:val="21"/>
                <w:szCs w:val="21"/>
              </w:rPr>
              <w:t>施工机械废气、运输车辆尾气：选用合格油品，加强车辆管理；</w:t>
            </w:r>
          </w:p>
          <w:p>
            <w:pPr>
              <w:spacing w:line="240" w:lineRule="auto"/>
              <w:ind w:firstLine="0" w:firstLineChars="0"/>
              <w:jc w:val="center"/>
              <w:rPr>
                <w:sz w:val="21"/>
                <w:szCs w:val="21"/>
              </w:rPr>
            </w:pPr>
            <w:r>
              <w:rPr>
                <w:sz w:val="21"/>
                <w:szCs w:val="21"/>
              </w:rPr>
              <w:t>伴生气：放散管燃放</w:t>
            </w:r>
          </w:p>
          <w:p>
            <w:pPr>
              <w:spacing w:line="240" w:lineRule="auto"/>
              <w:ind w:firstLine="0" w:firstLineChars="0"/>
              <w:jc w:val="center"/>
            </w:pPr>
            <w:r>
              <w:rPr>
                <w:sz w:val="21"/>
                <w:szCs w:val="21"/>
              </w:rPr>
              <w:t>临时储罐废气和采出液装卸废气</w:t>
            </w:r>
            <w:r>
              <w:rPr>
                <w:rFonts w:hint="eastAsia"/>
                <w:sz w:val="21"/>
                <w:szCs w:val="21"/>
              </w:rPr>
              <w:t>：通过密闭底部装载方式减少废气的排放</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851" w:type="pct"/>
            <w:vMerge w:val="restart"/>
            <w:vAlign w:val="center"/>
          </w:tcPr>
          <w:p>
            <w:pPr>
              <w:spacing w:line="240" w:lineRule="auto"/>
              <w:ind w:firstLine="0" w:firstLineChars="0"/>
              <w:jc w:val="center"/>
              <w:rPr>
                <w:sz w:val="21"/>
                <w:szCs w:val="21"/>
              </w:rPr>
            </w:pPr>
            <w:r>
              <w:rPr>
                <w:sz w:val="21"/>
                <w:szCs w:val="21"/>
              </w:rPr>
              <w:t>固体废物</w:t>
            </w:r>
          </w:p>
        </w:tc>
        <w:tc>
          <w:tcPr>
            <w:tcW w:w="1496" w:type="pct"/>
            <w:vAlign w:val="center"/>
          </w:tcPr>
          <w:p>
            <w:pPr>
              <w:spacing w:line="240" w:lineRule="auto"/>
              <w:ind w:firstLine="0" w:firstLineChars="0"/>
              <w:jc w:val="center"/>
              <w:rPr>
                <w:sz w:val="21"/>
                <w:szCs w:val="21"/>
              </w:rPr>
            </w:pPr>
            <w:r>
              <w:rPr>
                <w:sz w:val="21"/>
                <w:szCs w:val="21"/>
              </w:rPr>
              <w:t>钻井泥浆：泥浆经“钻井泥浆不落地技术”处理后循环使用，完井后由专业服务公司进行回收利用</w:t>
            </w:r>
          </w:p>
        </w:tc>
        <w:tc>
          <w:tcPr>
            <w:tcW w:w="1632" w:type="pct"/>
            <w:vAlign w:val="center"/>
          </w:tcPr>
          <w:p>
            <w:pPr>
              <w:spacing w:line="240" w:lineRule="auto"/>
              <w:ind w:firstLine="0" w:firstLineChars="0"/>
              <w:jc w:val="center"/>
              <w:rPr>
                <w:sz w:val="21"/>
                <w:szCs w:val="21"/>
                <w:highlight w:val="yellow"/>
              </w:rPr>
            </w:pPr>
            <w:r>
              <w:rPr>
                <w:sz w:val="21"/>
                <w:szCs w:val="21"/>
              </w:rPr>
              <w:t>钻井泥浆：泥浆经“钻井泥浆不落地技术”处理后循环使用，完井后由专业服务公司进行回收利用</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87"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Align w:val="center"/>
          </w:tcPr>
          <w:p>
            <w:pPr>
              <w:spacing w:line="240" w:lineRule="auto"/>
              <w:ind w:firstLine="0" w:firstLineChars="0"/>
              <w:jc w:val="center"/>
              <w:rPr>
                <w:sz w:val="21"/>
                <w:szCs w:val="21"/>
              </w:rPr>
            </w:pPr>
            <w:r>
              <w:rPr>
                <w:sz w:val="21"/>
                <w:szCs w:val="21"/>
              </w:rPr>
              <w:t>钻井岩屑：泥浆不落地设备分离出的水基钻井岩屑进入储罐，委托</w:t>
            </w:r>
            <w:r>
              <w:rPr>
                <w:rFonts w:hint="eastAsia"/>
                <w:sz w:val="21"/>
                <w:szCs w:val="21"/>
              </w:rPr>
              <w:t>有资质的</w:t>
            </w:r>
            <w:r>
              <w:rPr>
                <w:sz w:val="21"/>
                <w:szCs w:val="21"/>
              </w:rPr>
              <w:t>处置</w:t>
            </w:r>
          </w:p>
        </w:tc>
        <w:tc>
          <w:tcPr>
            <w:tcW w:w="1632" w:type="pct"/>
            <w:vAlign w:val="center"/>
          </w:tcPr>
          <w:p>
            <w:pPr>
              <w:spacing w:line="240" w:lineRule="auto"/>
              <w:ind w:firstLine="0" w:firstLineChars="0"/>
              <w:jc w:val="center"/>
              <w:rPr>
                <w:sz w:val="21"/>
                <w:szCs w:val="21"/>
                <w:highlight w:val="yellow"/>
              </w:rPr>
            </w:pPr>
            <w:r>
              <w:rPr>
                <w:sz w:val="21"/>
                <w:szCs w:val="21"/>
              </w:rPr>
              <w:t>钻井岩屑：泥浆不落地设备分离出的水基钻井岩屑进入储罐，委托</w:t>
            </w:r>
            <w:r>
              <w:rPr>
                <w:rFonts w:hint="eastAsia"/>
                <w:sz w:val="21"/>
                <w:szCs w:val="21"/>
              </w:rPr>
              <w:t>有资质的</w:t>
            </w:r>
            <w:r>
              <w:rPr>
                <w:sz w:val="21"/>
                <w:szCs w:val="21"/>
              </w:rPr>
              <w:t>处置</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Align w:val="center"/>
          </w:tcPr>
          <w:p>
            <w:pPr>
              <w:spacing w:line="240" w:lineRule="auto"/>
              <w:ind w:firstLine="0" w:firstLineChars="0"/>
              <w:jc w:val="center"/>
              <w:rPr>
                <w:sz w:val="21"/>
                <w:szCs w:val="21"/>
              </w:rPr>
            </w:pPr>
            <w:r>
              <w:rPr>
                <w:sz w:val="21"/>
                <w:szCs w:val="21"/>
              </w:rPr>
              <w:t>落地油：落地油100%回收，集中收集后</w:t>
            </w:r>
            <w:r>
              <w:rPr>
                <w:bCs/>
                <w:sz w:val="21"/>
                <w:szCs w:val="21"/>
              </w:rPr>
              <w:t>委托有危废处置资质单位处理</w:t>
            </w:r>
          </w:p>
        </w:tc>
        <w:tc>
          <w:tcPr>
            <w:tcW w:w="1632" w:type="pct"/>
            <w:vAlign w:val="center"/>
          </w:tcPr>
          <w:p>
            <w:pPr>
              <w:spacing w:line="240" w:lineRule="auto"/>
              <w:ind w:firstLine="0" w:firstLineChars="0"/>
              <w:jc w:val="center"/>
              <w:rPr>
                <w:sz w:val="21"/>
                <w:szCs w:val="21"/>
              </w:rPr>
            </w:pPr>
            <w:r>
              <w:rPr>
                <w:sz w:val="21"/>
                <w:szCs w:val="21"/>
              </w:rPr>
              <w:t>落地油：落地油100%回收，集中收集后</w:t>
            </w:r>
            <w:r>
              <w:rPr>
                <w:bCs/>
                <w:sz w:val="21"/>
                <w:szCs w:val="21"/>
              </w:rPr>
              <w:t>委托有危废处置资质单位处理</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Align w:val="center"/>
          </w:tcPr>
          <w:p>
            <w:pPr>
              <w:spacing w:line="240" w:lineRule="auto"/>
              <w:ind w:firstLine="0" w:firstLineChars="0"/>
              <w:jc w:val="center"/>
              <w:rPr>
                <w:sz w:val="21"/>
                <w:szCs w:val="21"/>
              </w:rPr>
            </w:pPr>
            <w:r>
              <w:rPr>
                <w:rFonts w:hint="eastAsia"/>
                <w:sz w:val="21"/>
                <w:szCs w:val="21"/>
              </w:rPr>
              <w:t>压裂返排液：</w:t>
            </w:r>
            <w:r>
              <w:rPr>
                <w:sz w:val="21"/>
                <w:szCs w:val="21"/>
              </w:rPr>
              <w:t>压裂返排液入方罐，拉运</w:t>
            </w:r>
            <w:r>
              <w:rPr>
                <w:rFonts w:hint="eastAsia"/>
                <w:sz w:val="21"/>
                <w:szCs w:val="21"/>
              </w:rPr>
              <w:t>乌尔禾稀油处理站</w:t>
            </w:r>
            <w:r>
              <w:rPr>
                <w:sz w:val="21"/>
                <w:szCs w:val="21"/>
              </w:rPr>
              <w:t>，</w:t>
            </w:r>
            <w:r>
              <w:rPr>
                <w:rFonts w:hint="eastAsia"/>
                <w:sz w:val="21"/>
                <w:szCs w:val="21"/>
              </w:rPr>
              <w:t>上清液运至乌尔禾稀油处理站污水处理设施</w:t>
            </w:r>
            <w:r>
              <w:rPr>
                <w:sz w:val="21"/>
                <w:szCs w:val="21"/>
              </w:rPr>
              <w:t>进行处置</w:t>
            </w:r>
          </w:p>
        </w:tc>
        <w:tc>
          <w:tcPr>
            <w:tcW w:w="1632" w:type="pct"/>
            <w:vAlign w:val="center"/>
          </w:tcPr>
          <w:p>
            <w:pPr>
              <w:spacing w:line="240" w:lineRule="auto"/>
              <w:ind w:firstLine="0" w:firstLineChars="0"/>
              <w:jc w:val="center"/>
              <w:rPr>
                <w:sz w:val="21"/>
                <w:szCs w:val="21"/>
              </w:rPr>
            </w:pPr>
            <w:r>
              <w:rPr>
                <w:rFonts w:hint="eastAsia"/>
                <w:sz w:val="21"/>
                <w:szCs w:val="21"/>
              </w:rPr>
              <w:t>压裂返排液：</w:t>
            </w:r>
            <w:r>
              <w:rPr>
                <w:sz w:val="21"/>
                <w:szCs w:val="21"/>
              </w:rPr>
              <w:t>压裂返排液入方罐，拉运</w:t>
            </w:r>
            <w:r>
              <w:rPr>
                <w:rFonts w:hint="eastAsia"/>
                <w:sz w:val="21"/>
                <w:szCs w:val="21"/>
              </w:rPr>
              <w:t>乌尔禾稀油处理站</w:t>
            </w:r>
            <w:r>
              <w:rPr>
                <w:sz w:val="21"/>
                <w:szCs w:val="21"/>
              </w:rPr>
              <w:t>，</w:t>
            </w:r>
            <w:r>
              <w:rPr>
                <w:rFonts w:hint="eastAsia"/>
                <w:sz w:val="21"/>
                <w:szCs w:val="21"/>
              </w:rPr>
              <w:t>上清液运至乌尔禾稀油处理站污水处理设施</w:t>
            </w:r>
            <w:r>
              <w:rPr>
                <w:sz w:val="21"/>
                <w:szCs w:val="21"/>
              </w:rPr>
              <w:t>进行处置</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Align w:val="center"/>
          </w:tcPr>
          <w:p>
            <w:pPr>
              <w:widowControl/>
              <w:spacing w:line="240" w:lineRule="auto"/>
              <w:ind w:firstLine="0" w:firstLineChars="0"/>
              <w:jc w:val="center"/>
              <w:rPr>
                <w:kern w:val="0"/>
                <w:sz w:val="21"/>
                <w:szCs w:val="21"/>
              </w:rPr>
            </w:pPr>
            <w:r>
              <w:rPr>
                <w:rFonts w:hint="eastAsia"/>
                <w:kern w:val="0"/>
                <w:sz w:val="21"/>
                <w:szCs w:val="21"/>
              </w:rPr>
              <w:t>机械设备废油：</w:t>
            </w:r>
            <w:r>
              <w:rPr>
                <w:bCs/>
                <w:sz w:val="21"/>
                <w:szCs w:val="21"/>
              </w:rPr>
              <w:t>由钻井单位用专用罐集中收集后</w:t>
            </w:r>
            <w:r>
              <w:rPr>
                <w:rFonts w:hint="eastAsia"/>
                <w:bCs/>
                <w:sz w:val="21"/>
                <w:szCs w:val="21"/>
              </w:rPr>
              <w:t>交由有危废处置资质的单位</w:t>
            </w:r>
          </w:p>
        </w:tc>
        <w:tc>
          <w:tcPr>
            <w:tcW w:w="1632" w:type="pct"/>
            <w:vAlign w:val="center"/>
          </w:tcPr>
          <w:p>
            <w:pPr>
              <w:widowControl/>
              <w:spacing w:line="240" w:lineRule="auto"/>
              <w:ind w:firstLine="0" w:firstLineChars="0"/>
              <w:jc w:val="center"/>
              <w:rPr>
                <w:kern w:val="0"/>
                <w:sz w:val="21"/>
                <w:szCs w:val="21"/>
              </w:rPr>
            </w:pPr>
            <w:r>
              <w:rPr>
                <w:rFonts w:hint="eastAsia"/>
                <w:kern w:val="0"/>
                <w:sz w:val="21"/>
                <w:szCs w:val="21"/>
              </w:rPr>
              <w:t>机械设备废油：</w:t>
            </w:r>
            <w:r>
              <w:rPr>
                <w:bCs/>
                <w:sz w:val="21"/>
                <w:szCs w:val="21"/>
              </w:rPr>
              <w:t>由钻井单位用专用罐集中收集后</w:t>
            </w:r>
            <w:r>
              <w:rPr>
                <w:rFonts w:hint="eastAsia"/>
                <w:bCs/>
                <w:sz w:val="21"/>
                <w:szCs w:val="21"/>
              </w:rPr>
              <w:t>交由有危废处置资质的单位</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Align w:val="center"/>
          </w:tcPr>
          <w:p>
            <w:pPr>
              <w:widowControl/>
              <w:spacing w:line="240" w:lineRule="auto"/>
              <w:ind w:firstLine="0" w:firstLineChars="0"/>
              <w:jc w:val="center"/>
              <w:rPr>
                <w:kern w:val="0"/>
                <w:sz w:val="21"/>
                <w:szCs w:val="21"/>
              </w:rPr>
            </w:pPr>
            <w:r>
              <w:rPr>
                <w:rFonts w:hint="eastAsia"/>
                <w:kern w:val="0"/>
                <w:sz w:val="21"/>
                <w:szCs w:val="21"/>
              </w:rPr>
              <w:t>废弃防渗膜：</w:t>
            </w:r>
            <w:r>
              <w:rPr>
                <w:rFonts w:hint="eastAsia"/>
                <w:bCs/>
                <w:sz w:val="21"/>
                <w:szCs w:val="21"/>
              </w:rPr>
              <w:t>委托有资质单位处置</w:t>
            </w:r>
          </w:p>
        </w:tc>
        <w:tc>
          <w:tcPr>
            <w:tcW w:w="1632" w:type="pct"/>
            <w:vAlign w:val="center"/>
          </w:tcPr>
          <w:p>
            <w:pPr>
              <w:widowControl/>
              <w:spacing w:line="240" w:lineRule="auto"/>
              <w:ind w:firstLine="0" w:firstLineChars="0"/>
              <w:jc w:val="center"/>
              <w:rPr>
                <w:kern w:val="0"/>
                <w:sz w:val="21"/>
                <w:szCs w:val="21"/>
              </w:rPr>
            </w:pPr>
            <w:r>
              <w:rPr>
                <w:rFonts w:hint="eastAsia"/>
                <w:kern w:val="0"/>
                <w:sz w:val="21"/>
                <w:szCs w:val="21"/>
              </w:rPr>
              <w:t>废弃防渗膜：</w:t>
            </w:r>
            <w:r>
              <w:rPr>
                <w:rFonts w:hint="eastAsia"/>
                <w:bCs/>
                <w:sz w:val="21"/>
                <w:szCs w:val="21"/>
              </w:rPr>
              <w:t>委托有资质单位处置</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851" w:type="pct"/>
            <w:vMerge w:val="continue"/>
            <w:vAlign w:val="center"/>
          </w:tcPr>
          <w:p>
            <w:pPr>
              <w:spacing w:line="240" w:lineRule="auto"/>
              <w:ind w:firstLine="0" w:firstLineChars="0"/>
              <w:jc w:val="center"/>
              <w:rPr>
                <w:sz w:val="21"/>
                <w:szCs w:val="21"/>
              </w:rPr>
            </w:pPr>
          </w:p>
        </w:tc>
        <w:tc>
          <w:tcPr>
            <w:tcW w:w="1496" w:type="pct"/>
            <w:vAlign w:val="center"/>
          </w:tcPr>
          <w:p>
            <w:pPr>
              <w:spacing w:line="240" w:lineRule="auto"/>
              <w:ind w:firstLine="0" w:firstLineChars="0"/>
              <w:jc w:val="center"/>
              <w:rPr>
                <w:sz w:val="21"/>
                <w:szCs w:val="21"/>
              </w:rPr>
            </w:pPr>
            <w:r>
              <w:rPr>
                <w:sz w:val="21"/>
                <w:szCs w:val="21"/>
              </w:rPr>
              <w:t>生活垃圾：集中收集后定期拉运至</w:t>
            </w:r>
            <w:r>
              <w:rPr>
                <w:rFonts w:hint="eastAsia"/>
                <w:sz w:val="21"/>
                <w:szCs w:val="21"/>
              </w:rPr>
              <w:t>乌尔禾区生活垃圾填埋场</w:t>
            </w:r>
          </w:p>
        </w:tc>
        <w:tc>
          <w:tcPr>
            <w:tcW w:w="1632" w:type="pct"/>
            <w:vAlign w:val="center"/>
          </w:tcPr>
          <w:p>
            <w:pPr>
              <w:spacing w:line="240" w:lineRule="auto"/>
              <w:ind w:firstLine="0" w:firstLineChars="0"/>
              <w:jc w:val="center"/>
              <w:rPr>
                <w:sz w:val="21"/>
                <w:szCs w:val="21"/>
              </w:rPr>
            </w:pPr>
            <w:r>
              <w:rPr>
                <w:sz w:val="21"/>
                <w:szCs w:val="21"/>
              </w:rPr>
              <w:t>生活垃圾：集中收集后定期拉运</w:t>
            </w:r>
            <w:r>
              <w:rPr>
                <w:rFonts w:hint="eastAsia"/>
                <w:sz w:val="21"/>
                <w:szCs w:val="21"/>
              </w:rPr>
              <w:t>至乌尔禾区生活垃圾填埋场</w:t>
            </w:r>
          </w:p>
        </w:tc>
        <w:tc>
          <w:tcPr>
            <w:tcW w:w="553" w:type="pct"/>
            <w:vAlign w:val="center"/>
          </w:tcPr>
          <w:p>
            <w:pPr>
              <w:spacing w:line="240" w:lineRule="auto"/>
              <w:ind w:firstLine="0" w:firstLineChars="0"/>
              <w:jc w:val="center"/>
              <w:rPr>
                <w:sz w:val="21"/>
                <w:szCs w:val="21"/>
              </w:rPr>
            </w:pPr>
          </w:p>
        </w:tc>
        <w:tc>
          <w:tcPr>
            <w:tcW w:w="467" w:type="pct"/>
            <w:vAlign w:val="center"/>
          </w:tcPr>
          <w:p>
            <w:pPr>
              <w:spacing w:line="240" w:lineRule="auto"/>
              <w:ind w:firstLine="0" w:firstLineChars="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电磁环境</w:t>
            </w:r>
          </w:p>
        </w:tc>
        <w:tc>
          <w:tcPr>
            <w:tcW w:w="1496" w:type="pct"/>
            <w:vAlign w:val="center"/>
          </w:tcPr>
          <w:p>
            <w:pPr>
              <w:spacing w:line="240" w:lineRule="auto"/>
              <w:ind w:firstLine="0" w:firstLineChars="0"/>
              <w:jc w:val="center"/>
              <w:rPr>
                <w:sz w:val="21"/>
                <w:szCs w:val="21"/>
              </w:rPr>
            </w:pPr>
            <w:r>
              <w:rPr>
                <w:sz w:val="21"/>
                <w:szCs w:val="21"/>
              </w:rPr>
              <w:t>-</w:t>
            </w:r>
          </w:p>
        </w:tc>
        <w:tc>
          <w:tcPr>
            <w:tcW w:w="1632" w:type="pct"/>
            <w:vAlign w:val="center"/>
          </w:tcPr>
          <w:p>
            <w:pPr>
              <w:spacing w:line="240" w:lineRule="auto"/>
              <w:ind w:firstLine="0" w:firstLineChars="0"/>
              <w:jc w:val="center"/>
              <w:rPr>
                <w:sz w:val="21"/>
                <w:szCs w:val="21"/>
              </w:rPr>
            </w:pPr>
            <w:r>
              <w:rPr>
                <w:sz w:val="21"/>
                <w:szCs w:val="21"/>
              </w:rPr>
              <w:t>-</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环境风险</w:t>
            </w:r>
          </w:p>
        </w:tc>
        <w:tc>
          <w:tcPr>
            <w:tcW w:w="1496" w:type="pct"/>
            <w:vAlign w:val="center"/>
          </w:tcPr>
          <w:p>
            <w:pPr>
              <w:spacing w:line="240" w:lineRule="auto"/>
              <w:ind w:firstLine="0" w:firstLineChars="0"/>
              <w:jc w:val="center"/>
              <w:rPr>
                <w:sz w:val="21"/>
                <w:szCs w:val="21"/>
              </w:rPr>
            </w:pPr>
            <w:r>
              <w:rPr>
                <w:kern w:val="0"/>
                <w:sz w:val="21"/>
                <w:szCs w:val="21"/>
              </w:rPr>
              <w:t>配备灭火装置、应急点火系统等、放喷管线及放喷池等</w:t>
            </w:r>
          </w:p>
        </w:tc>
        <w:tc>
          <w:tcPr>
            <w:tcW w:w="1632" w:type="pct"/>
            <w:vAlign w:val="center"/>
          </w:tcPr>
          <w:p>
            <w:pPr>
              <w:spacing w:line="240" w:lineRule="auto"/>
              <w:ind w:firstLine="0" w:firstLineChars="0"/>
              <w:jc w:val="center"/>
              <w:rPr>
                <w:sz w:val="21"/>
                <w:szCs w:val="21"/>
              </w:rPr>
            </w:pPr>
            <w:r>
              <w:rPr>
                <w:sz w:val="21"/>
                <w:szCs w:val="21"/>
              </w:rPr>
              <w:t>是否发生环境风险事故，</w:t>
            </w:r>
            <w:r>
              <w:rPr>
                <w:kern w:val="0"/>
                <w:sz w:val="21"/>
                <w:szCs w:val="21"/>
              </w:rPr>
              <w:t>配备灭火装置、应急点火系统等、放喷管线及放喷池等</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环境监测</w:t>
            </w:r>
          </w:p>
        </w:tc>
        <w:tc>
          <w:tcPr>
            <w:tcW w:w="1496" w:type="pct"/>
            <w:vAlign w:val="center"/>
          </w:tcPr>
          <w:p>
            <w:pPr>
              <w:spacing w:line="240" w:lineRule="auto"/>
              <w:ind w:firstLine="0" w:firstLineChars="0"/>
              <w:jc w:val="center"/>
              <w:rPr>
                <w:sz w:val="21"/>
                <w:szCs w:val="21"/>
              </w:rPr>
            </w:pPr>
            <w:r>
              <w:rPr>
                <w:sz w:val="21"/>
                <w:szCs w:val="21"/>
              </w:rPr>
              <w:t>-</w:t>
            </w:r>
          </w:p>
        </w:tc>
        <w:tc>
          <w:tcPr>
            <w:tcW w:w="1632" w:type="pct"/>
            <w:vAlign w:val="center"/>
          </w:tcPr>
          <w:p>
            <w:pPr>
              <w:spacing w:line="240" w:lineRule="auto"/>
              <w:ind w:firstLine="0" w:firstLineChars="0"/>
              <w:jc w:val="center"/>
              <w:rPr>
                <w:sz w:val="21"/>
                <w:szCs w:val="21"/>
              </w:rPr>
            </w:pPr>
            <w:r>
              <w:rPr>
                <w:sz w:val="21"/>
                <w:szCs w:val="21"/>
              </w:rPr>
              <w:t>-</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pct"/>
            <w:vAlign w:val="center"/>
          </w:tcPr>
          <w:p>
            <w:pPr>
              <w:spacing w:line="240" w:lineRule="auto"/>
              <w:ind w:firstLine="0" w:firstLineChars="0"/>
              <w:jc w:val="center"/>
              <w:rPr>
                <w:sz w:val="21"/>
                <w:szCs w:val="21"/>
              </w:rPr>
            </w:pPr>
            <w:r>
              <w:rPr>
                <w:sz w:val="21"/>
                <w:szCs w:val="21"/>
              </w:rPr>
              <w:t>其他</w:t>
            </w:r>
          </w:p>
        </w:tc>
        <w:tc>
          <w:tcPr>
            <w:tcW w:w="1496" w:type="pct"/>
            <w:vAlign w:val="center"/>
          </w:tcPr>
          <w:p>
            <w:pPr>
              <w:spacing w:line="240" w:lineRule="auto"/>
              <w:ind w:firstLine="0" w:firstLineChars="0"/>
              <w:jc w:val="center"/>
              <w:rPr>
                <w:sz w:val="21"/>
                <w:szCs w:val="21"/>
              </w:rPr>
            </w:pPr>
            <w:r>
              <w:rPr>
                <w:rFonts w:hint="eastAsia"/>
                <w:sz w:val="21"/>
                <w:szCs w:val="21"/>
              </w:rPr>
              <w:t>-</w:t>
            </w:r>
          </w:p>
        </w:tc>
        <w:tc>
          <w:tcPr>
            <w:tcW w:w="1632" w:type="pct"/>
            <w:vAlign w:val="center"/>
          </w:tcPr>
          <w:p>
            <w:pPr>
              <w:spacing w:line="240" w:lineRule="auto"/>
              <w:ind w:firstLine="0" w:firstLineChars="0"/>
              <w:jc w:val="center"/>
              <w:rPr>
                <w:sz w:val="21"/>
                <w:szCs w:val="21"/>
              </w:rPr>
            </w:pPr>
            <w:r>
              <w:rPr>
                <w:rFonts w:hint="eastAsia"/>
                <w:sz w:val="21"/>
                <w:szCs w:val="21"/>
              </w:rPr>
              <w:t>-</w:t>
            </w:r>
          </w:p>
        </w:tc>
        <w:tc>
          <w:tcPr>
            <w:tcW w:w="553" w:type="pct"/>
            <w:vAlign w:val="center"/>
          </w:tcPr>
          <w:p>
            <w:pPr>
              <w:spacing w:line="240" w:lineRule="auto"/>
              <w:ind w:firstLine="0" w:firstLineChars="0"/>
              <w:jc w:val="center"/>
              <w:rPr>
                <w:sz w:val="21"/>
                <w:szCs w:val="21"/>
              </w:rPr>
            </w:pPr>
            <w:r>
              <w:rPr>
                <w:sz w:val="21"/>
                <w:szCs w:val="21"/>
              </w:rPr>
              <w:t>-</w:t>
            </w:r>
          </w:p>
        </w:tc>
        <w:tc>
          <w:tcPr>
            <w:tcW w:w="467" w:type="pct"/>
            <w:vAlign w:val="center"/>
          </w:tcPr>
          <w:p>
            <w:pPr>
              <w:spacing w:line="240" w:lineRule="auto"/>
              <w:ind w:firstLine="0" w:firstLineChars="0"/>
              <w:jc w:val="center"/>
              <w:rPr>
                <w:sz w:val="21"/>
                <w:szCs w:val="21"/>
              </w:rPr>
            </w:pPr>
            <w:r>
              <w:rPr>
                <w:sz w:val="21"/>
                <w:szCs w:val="21"/>
              </w:rPr>
              <w:t>-</w:t>
            </w:r>
          </w:p>
        </w:tc>
      </w:tr>
    </w:tbl>
    <w:p>
      <w:pPr>
        <w:ind w:firstLine="600"/>
        <w:jc w:val="center"/>
        <w:rPr>
          <w:rFonts w:eastAsia="黑体"/>
          <w:snapToGrid w:val="0"/>
          <w:sz w:val="30"/>
          <w:szCs w:val="30"/>
        </w:rPr>
      </w:pPr>
      <w:r>
        <w:rPr>
          <w:rFonts w:eastAsia="黑体"/>
          <w:snapToGrid w:val="0"/>
          <w:sz w:val="30"/>
          <w:szCs w:val="30"/>
        </w:rPr>
        <w:br w:type="page"/>
      </w:r>
      <w:bookmarkStart w:id="67" w:name="_Toc20585"/>
      <w:r>
        <w:rPr>
          <w:rFonts w:eastAsia="黑体"/>
          <w:snapToGrid w:val="0"/>
          <w:sz w:val="30"/>
          <w:szCs w:val="30"/>
        </w:rPr>
        <w:t>七、结论</w:t>
      </w:r>
      <w:bookmarkEnd w:id="67"/>
    </w:p>
    <w:tbl>
      <w:tblPr>
        <w:tblStyle w:val="14"/>
        <w:tblW w:w="92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2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29" w:hRule="atLeast"/>
          <w:jc w:val="center"/>
        </w:trPr>
        <w:tc>
          <w:tcPr>
            <w:tcW w:w="9289" w:type="dxa"/>
            <w:vAlign w:val="center"/>
          </w:tcPr>
          <w:p>
            <w:pPr>
              <w:adjustRightInd/>
              <w:snapToGrid/>
              <w:ind w:firstLine="480"/>
              <w:rPr>
                <w:szCs w:val="21"/>
              </w:rPr>
            </w:pPr>
            <w:r>
              <w:t>本项目符合国家有关产业政策，项目建设符合达标排放、总量控制及维持环境质量原则；符合风险防范措施要求。通过加强管理，污染物无害处理，及时恢复原貌等措施，在各项污染治理措施实施且确保全部污染物达标排放的前提下，本次项目的建设从环境影响角度而言，项目实施是可行的。</w:t>
            </w:r>
          </w:p>
        </w:tc>
      </w:tr>
    </w:tbl>
    <w:p>
      <w:pPr>
        <w:ind w:firstLine="0" w:firstLineChars="0"/>
      </w:pPr>
    </w:p>
    <w:sectPr>
      <w:pgSz w:w="11906" w:h="16838"/>
      <w:pgMar w:top="1440" w:right="1800" w:bottom="1440" w:left="1800" w:header="851" w:footer="1077"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TimesNewRomanPSMT">
    <w:altName w:val="微软雅黑"/>
    <w:panose1 w:val="00000000000000000000"/>
    <w:charset w:val="00"/>
    <w:family w:val="auto"/>
    <w:pitch w:val="default"/>
    <w:sig w:usb0="00000000" w:usb1="00000000" w:usb2="00000010"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right="360" w:firstLine="48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tabs>
        <w:tab w:val="center" w:pos="4153"/>
        <w:tab w:val="right" w:pos="8306"/>
      </w:tabs>
      <w:ind w:firstLine="480"/>
    </w:pPr>
    <w:r>
      <w:fldChar w:fldCharType="begin"/>
    </w:r>
    <w:r>
      <w:instrText xml:space="preserve">PAGE  </w:instrText>
    </w:r>
    <w:r>
      <w:fldChar w:fldCharType="end"/>
    </w:r>
  </w:p>
  <w:p>
    <w:pPr>
      <w:tabs>
        <w:tab w:val="center" w:pos="4153"/>
        <w:tab w:val="right" w:pos="8306"/>
      </w:tabs>
      <w:ind w:right="360" w:firstLine="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right="360" w:firstLine="480"/>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130935" cy="346075"/>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tabs>
                              <w:tab w:val="center" w:pos="4153"/>
                              <w:tab w:val="right" w:pos="8306"/>
                            </w:tabs>
                            <w:ind w:firstLine="560"/>
                            <w:rPr>
                              <w:rFonts w:ascii="宋体" w:hAnsi="宋体"/>
                              <w:sz w:val="28"/>
                              <w:szCs w:val="28"/>
                            </w:rPr>
                          </w:pPr>
                          <w:r>
                            <w:rPr>
                              <w:rFonts w:hint="eastAsia" w:ascii="宋体" w:hAnsi="宋体"/>
                              <w:sz w:val="28"/>
                              <w:szCs w:val="28"/>
                            </w:rPr>
                            <w:t>—</w:t>
                          </w:r>
                          <w:r>
                            <w:rPr>
                              <w:rFonts w:hint="eastAsia" w:ascii="宋体" w:hAnsi="宋体"/>
                              <w:sz w:val="20"/>
                              <w:szCs w:val="20"/>
                            </w:rPr>
                            <w:t xml:space="preserve">  </w:t>
                          </w:r>
                          <w:r>
                            <w:rPr>
                              <w:rFonts w:ascii="宋体" w:hAnsi="宋体"/>
                              <w:sz w:val="26"/>
                              <w:szCs w:val="26"/>
                            </w:rPr>
                            <w:fldChar w:fldCharType="begin"/>
                          </w:r>
                          <w:r>
                            <w:rPr>
                              <w:rFonts w:ascii="宋体" w:hAnsi="宋体"/>
                              <w:sz w:val="26"/>
                              <w:szCs w:val="26"/>
                            </w:rPr>
                            <w:instrText xml:space="preserve">PAGE  </w:instrText>
                          </w:r>
                          <w:r>
                            <w:rPr>
                              <w:rFonts w:ascii="宋体" w:hAnsi="宋体"/>
                              <w:sz w:val="26"/>
                              <w:szCs w:val="26"/>
                            </w:rPr>
                            <w:fldChar w:fldCharType="separate"/>
                          </w:r>
                          <w:r>
                            <w:rPr>
                              <w:rFonts w:ascii="宋体" w:hAnsi="宋体"/>
                              <w:sz w:val="26"/>
                              <w:szCs w:val="26"/>
                            </w:rPr>
                            <w:t>33</w:t>
                          </w:r>
                          <w:r>
                            <w:rPr>
                              <w:rFonts w:ascii="宋体" w:hAnsi="宋体"/>
                              <w:sz w:val="26"/>
                              <w:szCs w:val="26"/>
                            </w:rPr>
                            <w:fldChar w:fldCharType="end"/>
                          </w:r>
                          <w:r>
                            <w:rPr>
                              <w:rFonts w:hint="eastAsia" w:ascii="宋体" w:hAnsi="宋体"/>
                              <w:sz w:val="20"/>
                              <w:szCs w:val="20"/>
                            </w:rPr>
                            <w:t xml:space="preserve">  </w:t>
                          </w:r>
                          <w:r>
                            <w:rPr>
                              <w:rFonts w:hint="eastAsia" w:ascii="宋体" w:hAnsi="宋体"/>
                              <w:sz w:val="28"/>
                              <w:szCs w:val="28"/>
                            </w:rPr>
                            <w:t>—</w:t>
                          </w:r>
                        </w:p>
                      </w:txbxContent>
                    </wps:txbx>
                    <wps:bodyPr wrap="none" lIns="0" tIns="0" rIns="0" bIns="0">
                      <a:spAutoFit/>
                    </wps:bodyPr>
                  </wps:wsp>
                </a:graphicData>
              </a:graphic>
            </wp:anchor>
          </w:drawing>
        </mc:Choice>
        <mc:Fallback>
          <w:pict>
            <v:shape id="_x0000_s1026" o:spid="_x0000_s1026" o:spt="202" type="#_x0000_t202" style="position:absolute;left:0pt;margin-top:0pt;height:27.25pt;width:89.05pt;mso-position-horizontal:outside;mso-position-horizontal-relative:margin;mso-wrap-style:none;z-index:251659264;mso-width-relative:page;mso-height-relative:page;" filled="f" stroked="f" coordsize="21600,21600" o:gfxdata="UEsDBAoAAAAAAIdO4kAAAAAAAAAAAAAAAAAEAAAAZHJzL1BLAwQUAAAACACHTuJAa+ulDNIAAAAE&#10;AQAADwAAAGRycy9kb3ducmV2LnhtbE2PwU7DMBBE70j8g7VI3KgTRGkU4vRQiQs3CkLqbRtv4wh7&#10;Hdlumvw9Lhe4rDSa0czbZjs7KyYKcfCsoFwVIIg7rwfuFXx+vD5UIGJC1mg9k4KFImzb25sGa+0v&#10;/E7TPvUil3CsUYFJaayljJ0hh3HlR+LsnXxwmLIMvdQBL7ncWflYFM/S4cB5weBIO0Pd9/7sFGzm&#10;L09jpB0dTlMXzLBU9m1R6v6uLF5AJJrTXxiu+Bkd2sx09GfWUVgF+ZH0e6/epipBHBWsn9Yg20b+&#10;h29/AFBLAwQUAAAACACHTuJAzTZG3sgBAACdAwAADgAAAGRycy9lMm9Eb2MueG1srVPNjtMwEL4j&#10;8Q6W7zTZglAVNV2BqkVICJCWfQDXmTSW/CeP26QvAG/AiQt3nqvPwdhJurB72cNenPnzN/N9nqyv&#10;B6PZEQIqZ2t+tSg5Aytdo+y+5nffbl6tOMMobCO0s1DzEyC/3rx8se59BUvXOd1AYARisep9zbsY&#10;fVUUKDswAhfOg6Vk64IRkdywL5ogekI3uliW5duid6HxwUlApOh2TPIJMTwF0LWtkrB18mDAxhE1&#10;gBaRKGGnPPJNnrZtQcYvbYsQma45MY35pCZk79JZbNai2gfhOyWnEcRTRnjAyQhlqekFaiuiYIeg&#10;HkEZJYND18aFdKYYiWRFiMVV+UCb2054yFxIavQX0fH5YOXn49fAVFPzN685s8LQi59//jj/+nP+&#10;/Z1RjATqPVZUd+upMg7v3UBrM8eRgon30AaTvsSIUZ7kPV3khSEymS6tlqtVSSlJudkh/OL+ug8Y&#10;P4AzLBk1D/R+WVZx/IRxLJ1LUjfrbpTW+Q21/S9AmGME8hJMtxOTceJkxWE3TPR2rjkRu54WoeaW&#10;9p4z/dGSzmlnZiPMxm4yUkf07w6RxsjTJdQRilglh14t85s2LK3Fv36uuv+r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a+ulDNIAAAAEAQAADwAAAAAAAAABACAAAAAiAAAAZHJzL2Rvd25yZXYu&#10;eG1sUEsBAhQAFAAAAAgAh07iQM02Rt7IAQAAnQMAAA4AAAAAAAAAAQAgAAAAIQEAAGRycy9lMm9E&#10;b2MueG1sUEsFBgAAAAAGAAYAWQEAAFsFAAAAAA==&#10;">
              <v:fill on="f" focussize="0,0"/>
              <v:stroke on="f"/>
              <v:imagedata o:title=""/>
              <o:lock v:ext="edit" aspectratio="f"/>
              <v:textbox inset="0mm,0mm,0mm,0mm" style="mso-fit-shape-to-text:t;">
                <w:txbxContent>
                  <w:p>
                    <w:pPr>
                      <w:tabs>
                        <w:tab w:val="center" w:pos="4153"/>
                        <w:tab w:val="right" w:pos="8306"/>
                      </w:tabs>
                      <w:ind w:firstLine="560"/>
                      <w:rPr>
                        <w:rFonts w:ascii="宋体" w:hAnsi="宋体"/>
                        <w:sz w:val="28"/>
                        <w:szCs w:val="28"/>
                      </w:rPr>
                    </w:pPr>
                    <w:r>
                      <w:rPr>
                        <w:rFonts w:hint="eastAsia" w:ascii="宋体" w:hAnsi="宋体"/>
                        <w:sz w:val="28"/>
                        <w:szCs w:val="28"/>
                      </w:rPr>
                      <w:t>—</w:t>
                    </w:r>
                    <w:r>
                      <w:rPr>
                        <w:rFonts w:hint="eastAsia" w:ascii="宋体" w:hAnsi="宋体"/>
                        <w:sz w:val="20"/>
                        <w:szCs w:val="20"/>
                      </w:rPr>
                      <w:t xml:space="preserve">  </w:t>
                    </w:r>
                    <w:r>
                      <w:rPr>
                        <w:rFonts w:ascii="宋体" w:hAnsi="宋体"/>
                        <w:sz w:val="26"/>
                        <w:szCs w:val="26"/>
                      </w:rPr>
                      <w:fldChar w:fldCharType="begin"/>
                    </w:r>
                    <w:r>
                      <w:rPr>
                        <w:rFonts w:ascii="宋体" w:hAnsi="宋体"/>
                        <w:sz w:val="26"/>
                        <w:szCs w:val="26"/>
                      </w:rPr>
                      <w:instrText xml:space="preserve">PAGE  </w:instrText>
                    </w:r>
                    <w:r>
                      <w:rPr>
                        <w:rFonts w:ascii="宋体" w:hAnsi="宋体"/>
                        <w:sz w:val="26"/>
                        <w:szCs w:val="26"/>
                      </w:rPr>
                      <w:fldChar w:fldCharType="separate"/>
                    </w:r>
                    <w:r>
                      <w:rPr>
                        <w:rFonts w:ascii="宋体" w:hAnsi="宋体"/>
                        <w:sz w:val="26"/>
                        <w:szCs w:val="26"/>
                      </w:rPr>
                      <w:t>33</w:t>
                    </w:r>
                    <w:r>
                      <w:rPr>
                        <w:rFonts w:ascii="宋体" w:hAnsi="宋体"/>
                        <w:sz w:val="26"/>
                        <w:szCs w:val="26"/>
                      </w:rPr>
                      <w:fldChar w:fldCharType="end"/>
                    </w:r>
                    <w:r>
                      <w:rPr>
                        <w:rFonts w:hint="eastAsia" w:ascii="宋体" w:hAnsi="宋体"/>
                        <w:sz w:val="20"/>
                        <w:szCs w:val="20"/>
                      </w:rPr>
                      <w:t xml:space="preserve">  </w:t>
                    </w:r>
                    <w:r>
                      <w:rPr>
                        <w:rFonts w:hint="eastAsia" w:ascii="宋体" w:hAnsi="宋体"/>
                        <w:sz w:val="28"/>
                        <w:szCs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8639B"/>
    <w:multiLevelType w:val="singleLevel"/>
    <w:tmpl w:val="D1B8639B"/>
    <w:lvl w:ilvl="0" w:tentative="0">
      <w:start w:val="1"/>
      <w:numFmt w:val="decimal"/>
      <w:suff w:val="nothing"/>
      <w:lvlText w:val="（%1）"/>
      <w:lvlJc w:val="left"/>
    </w:lvl>
  </w:abstractNum>
  <w:abstractNum w:abstractNumId="1">
    <w:nsid w:val="EA71608D"/>
    <w:multiLevelType w:val="singleLevel"/>
    <w:tmpl w:val="EA71608D"/>
    <w:lvl w:ilvl="0" w:tentative="0">
      <w:start w:val="1"/>
      <w:numFmt w:val="decimal"/>
      <w:suff w:val="nothing"/>
      <w:lvlText w:val="（%1）"/>
      <w:lvlJc w:val="left"/>
    </w:lvl>
  </w:abstractNum>
  <w:abstractNum w:abstractNumId="2">
    <w:nsid w:val="EC8E2E85"/>
    <w:multiLevelType w:val="singleLevel"/>
    <w:tmpl w:val="EC8E2E85"/>
    <w:lvl w:ilvl="0" w:tentative="0">
      <w:start w:val="1"/>
      <w:numFmt w:val="decimal"/>
      <w:suff w:val="nothing"/>
      <w:lvlText w:val="（%1）"/>
      <w:lvlJc w:val="left"/>
    </w:lvl>
  </w:abstractNum>
  <w:abstractNum w:abstractNumId="3">
    <w:nsid w:val="2C07D16A"/>
    <w:multiLevelType w:val="singleLevel"/>
    <w:tmpl w:val="2C07D16A"/>
    <w:lvl w:ilvl="0" w:tentative="0">
      <w:start w:val="1"/>
      <w:numFmt w:val="decimal"/>
      <w:suff w:val="nothing"/>
      <w:lvlText w:val="（%1）"/>
      <w:lvlJc w:val="left"/>
    </w:lvl>
  </w:abstractNum>
  <w:abstractNum w:abstractNumId="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yMjhhNjJhY2QzNGJmOWQyMzQzYjdjNmMzMmI5MzYifQ=="/>
  </w:docVars>
  <w:rsids>
    <w:rsidRoot w:val="526C30F6"/>
    <w:rsid w:val="00170B27"/>
    <w:rsid w:val="00367AD3"/>
    <w:rsid w:val="003F2746"/>
    <w:rsid w:val="005C759C"/>
    <w:rsid w:val="006106A5"/>
    <w:rsid w:val="00734C64"/>
    <w:rsid w:val="007A59F2"/>
    <w:rsid w:val="007D17EA"/>
    <w:rsid w:val="008065FB"/>
    <w:rsid w:val="00A436B8"/>
    <w:rsid w:val="00AB380D"/>
    <w:rsid w:val="00B86347"/>
    <w:rsid w:val="00CB6F8E"/>
    <w:rsid w:val="00CE1509"/>
    <w:rsid w:val="00EF248F"/>
    <w:rsid w:val="00F07B76"/>
    <w:rsid w:val="010827C0"/>
    <w:rsid w:val="2053226D"/>
    <w:rsid w:val="40980764"/>
    <w:rsid w:val="44FD328B"/>
    <w:rsid w:val="4A5B1E6C"/>
    <w:rsid w:val="526C30F6"/>
    <w:rsid w:val="594474F1"/>
    <w:rsid w:val="5C5C3BDB"/>
    <w:rsid w:val="618C48B8"/>
    <w:rsid w:val="618F52F0"/>
    <w:rsid w:val="64B5003F"/>
    <w:rsid w:val="657F1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720" w:firstLineChars="200"/>
      <w:jc w:val="both"/>
    </w:pPr>
    <w:rPr>
      <w:rFonts w:ascii="Times New Roman" w:hAnsi="Times New Roman" w:eastAsia="宋体" w:cs="Times New Roman"/>
      <w:kern w:val="2"/>
      <w:sz w:val="24"/>
      <w:szCs w:val="24"/>
      <w:lang w:val="en-US" w:eastAsia="zh-CN" w:bidi="ar-SA"/>
    </w:rPr>
  </w:style>
  <w:style w:type="paragraph" w:styleId="4">
    <w:name w:val="heading 2"/>
    <w:basedOn w:val="1"/>
    <w:next w:val="1"/>
    <w:qFormat/>
    <w:uiPriority w:val="0"/>
    <w:pPr>
      <w:keepNext/>
      <w:keepLines/>
      <w:outlineLvl w:val="1"/>
    </w:pPr>
    <w:rPr>
      <w:b/>
      <w:bCs/>
      <w:sz w:val="28"/>
      <w:szCs w:val="32"/>
    </w:rPr>
  </w:style>
  <w:style w:type="paragraph" w:styleId="5">
    <w:name w:val="heading 3"/>
    <w:basedOn w:val="1"/>
    <w:next w:val="1"/>
    <w:qFormat/>
    <w:uiPriority w:val="0"/>
    <w:pPr>
      <w:keepNext/>
      <w:keepLines/>
      <w:outlineLvl w:val="2"/>
    </w:pPr>
    <w:rPr>
      <w:b/>
      <w:bCs/>
      <w:szCs w:val="32"/>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customStyle="1" w:styleId="2">
    <w:name w:val="表头"/>
    <w:basedOn w:val="3"/>
    <w:next w:val="1"/>
    <w:qFormat/>
    <w:uiPriority w:val="0"/>
    <w:pPr>
      <w:spacing w:line="240" w:lineRule="auto"/>
      <w:ind w:firstLine="0" w:firstLineChars="0"/>
      <w:jc w:val="center"/>
    </w:pPr>
    <w:rPr>
      <w:kern w:val="0"/>
      <w:sz w:val="21"/>
      <w:szCs w:val="20"/>
    </w:rPr>
  </w:style>
  <w:style w:type="paragraph" w:customStyle="1" w:styleId="3">
    <w:name w:val="表外"/>
    <w:basedOn w:val="1"/>
    <w:qFormat/>
    <w:uiPriority w:val="0"/>
    <w:rPr>
      <w:b/>
      <w:sz w:val="32"/>
    </w:rPr>
  </w:style>
  <w:style w:type="paragraph" w:styleId="6">
    <w:name w:val="annotation text"/>
    <w:basedOn w:val="1"/>
    <w:link w:val="30"/>
    <w:qFormat/>
    <w:uiPriority w:val="0"/>
    <w:pPr>
      <w:jc w:val="left"/>
    </w:pPr>
  </w:style>
  <w:style w:type="paragraph" w:styleId="7">
    <w:name w:val="Balloon Text"/>
    <w:basedOn w:val="1"/>
    <w:link w:val="32"/>
    <w:qFormat/>
    <w:uiPriority w:val="0"/>
    <w:pPr>
      <w:spacing w:line="240" w:lineRule="auto"/>
    </w:pPr>
    <w:rPr>
      <w:sz w:val="18"/>
      <w:szCs w:val="18"/>
    </w:rPr>
  </w:style>
  <w:style w:type="paragraph" w:styleId="8">
    <w:name w:val="footer"/>
    <w:basedOn w:val="1"/>
    <w:qFormat/>
    <w:uiPriority w:val="0"/>
    <w:pPr>
      <w:tabs>
        <w:tab w:val="center" w:pos="4153"/>
        <w:tab w:val="right" w:pos="8306"/>
      </w:tabs>
      <w:spacing w:line="240" w:lineRule="auto"/>
      <w:jc w:val="left"/>
    </w:pPr>
    <w:rPr>
      <w:sz w:val="18"/>
      <w:szCs w:val="18"/>
    </w:rPr>
  </w:style>
  <w:style w:type="paragraph" w:styleId="9">
    <w:name w:val="header"/>
    <w:basedOn w:val="1"/>
    <w:qFormat/>
    <w:uiPriority w:val="0"/>
    <w:pPr>
      <w:pBdr>
        <w:bottom w:val="single" w:color="auto" w:sz="6" w:space="1"/>
      </w:pBdr>
      <w:tabs>
        <w:tab w:val="center" w:pos="4153"/>
        <w:tab w:val="right" w:pos="8306"/>
      </w:tabs>
      <w:spacing w:line="240" w:lineRule="auto"/>
      <w:jc w:val="center"/>
    </w:pPr>
    <w:rPr>
      <w:sz w:val="18"/>
      <w:szCs w:val="18"/>
    </w:rPr>
  </w:style>
  <w:style w:type="paragraph" w:styleId="10">
    <w:name w:val="List"/>
    <w:basedOn w:val="1"/>
    <w:next w:val="1"/>
    <w:qFormat/>
    <w:uiPriority w:val="0"/>
    <w:pPr>
      <w:spacing w:line="240" w:lineRule="auto"/>
      <w:ind w:left="198" w:hanging="198" w:firstLineChars="0"/>
      <w:contextualSpacing/>
    </w:pPr>
    <w:rPr>
      <w:sz w:val="21"/>
    </w:rPr>
  </w:style>
  <w:style w:type="paragraph" w:styleId="11">
    <w:name w:val="toc 2"/>
    <w:basedOn w:val="1"/>
    <w:next w:val="1"/>
    <w:unhideWhenUsed/>
    <w:qFormat/>
    <w:uiPriority w:val="39"/>
    <w:pPr>
      <w:spacing w:before="120"/>
      <w:ind w:left="210"/>
      <w:jc w:val="left"/>
    </w:pPr>
    <w:rPr>
      <w:rFonts w:ascii="Calibri" w:hAnsi="Calibri" w:cs="Calibri"/>
      <w:i/>
      <w:iCs/>
      <w:sz w:val="20"/>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styleId="13">
    <w:name w:val="annotation subject"/>
    <w:basedOn w:val="6"/>
    <w:next w:val="6"/>
    <w:link w:val="31"/>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semiHidden/>
    <w:qFormat/>
    <w:uiPriority w:val="0"/>
    <w:rPr>
      <w:sz w:val="21"/>
    </w:rPr>
  </w:style>
  <w:style w:type="paragraph" w:customStyle="1" w:styleId="18">
    <w:name w:val="111111"/>
    <w:basedOn w:val="1"/>
    <w:qFormat/>
    <w:uiPriority w:val="0"/>
    <w:pPr>
      <w:ind w:firstLine="0" w:firstLineChars="0"/>
    </w:pPr>
    <w:rPr>
      <w:b/>
      <w:sz w:val="28"/>
    </w:rPr>
  </w:style>
  <w:style w:type="paragraph" w:customStyle="1" w:styleId="19">
    <w:name w:val="222222"/>
    <w:basedOn w:val="1"/>
    <w:next w:val="1"/>
    <w:link w:val="27"/>
    <w:qFormat/>
    <w:uiPriority w:val="0"/>
    <w:pPr>
      <w:ind w:firstLine="0" w:firstLineChars="0"/>
    </w:pPr>
    <w:rPr>
      <w:b/>
    </w:rPr>
  </w:style>
  <w:style w:type="paragraph" w:customStyle="1" w:styleId="20">
    <w:name w:val="表格内容"/>
    <w:basedOn w:val="1"/>
    <w:next w:val="1"/>
    <w:qFormat/>
    <w:uiPriority w:val="0"/>
    <w:pPr>
      <w:spacing w:line="240" w:lineRule="auto"/>
      <w:ind w:firstLine="0" w:firstLineChars="0"/>
      <w:jc w:val="center"/>
    </w:pPr>
    <w:rPr>
      <w:sz w:val="21"/>
      <w:szCs w:val="22"/>
    </w:rPr>
  </w:style>
  <w:style w:type="paragraph" w:customStyle="1" w:styleId="21">
    <w:name w:val="文本"/>
    <w:basedOn w:val="1"/>
    <w:qFormat/>
    <w:uiPriority w:val="0"/>
    <w:pPr>
      <w:ind w:firstLine="480"/>
      <w:jc w:val="left"/>
    </w:pPr>
    <w:rPr>
      <w:rFonts w:ascii="Calibri" w:hAnsi="Calibri"/>
    </w:rPr>
  </w:style>
  <w:style w:type="paragraph" w:customStyle="1" w:styleId="22">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表格内"/>
    <w:basedOn w:val="1"/>
    <w:qFormat/>
    <w:uiPriority w:val="0"/>
    <w:pPr>
      <w:ind w:firstLine="0" w:firstLineChars="0"/>
      <w:jc w:val="left"/>
    </w:pPr>
    <w:rPr>
      <w:b/>
      <w:sz w:val="30"/>
    </w:rPr>
  </w:style>
  <w:style w:type="paragraph" w:customStyle="1" w:styleId="24">
    <w:name w:val="表格"/>
    <w:basedOn w:val="10"/>
    <w:next w:val="1"/>
    <w:qFormat/>
    <w:uiPriority w:val="0"/>
    <w:pPr>
      <w:jc w:val="center"/>
    </w:pPr>
    <w:rPr>
      <w:rFonts w:ascii="宋体" w:hAnsi="宋体"/>
      <w:kern w:val="0"/>
      <w:szCs w:val="20"/>
    </w:rPr>
  </w:style>
  <w:style w:type="paragraph" w:customStyle="1" w:styleId="25">
    <w:name w:val="Table Paragraph"/>
    <w:basedOn w:val="1"/>
    <w:qFormat/>
    <w:uiPriority w:val="1"/>
    <w:pPr>
      <w:jc w:val="center"/>
    </w:pPr>
    <w:rPr>
      <w:rFonts w:ascii="宋体" w:hAnsi="宋体" w:cs="宋体"/>
      <w:lang w:val="zh-CN" w:bidi="zh-CN"/>
    </w:rPr>
  </w:style>
  <w:style w:type="paragraph" w:customStyle="1" w:styleId="26">
    <w:name w:val="YJ正文*"/>
    <w:basedOn w:val="1"/>
    <w:qFormat/>
    <w:uiPriority w:val="0"/>
    <w:pPr>
      <w:spacing w:line="500" w:lineRule="exact"/>
      <w:ind w:firstLine="200"/>
    </w:pPr>
    <w:rPr>
      <w:rFonts w:ascii="宋体" w:hAnsi="宋体"/>
      <w:kern w:val="0"/>
    </w:rPr>
  </w:style>
  <w:style w:type="character" w:customStyle="1" w:styleId="27">
    <w:name w:val="222222 Char"/>
    <w:link w:val="19"/>
    <w:qFormat/>
    <w:uiPriority w:val="0"/>
    <w:rPr>
      <w:b/>
    </w:rPr>
  </w:style>
  <w:style w:type="paragraph" w:customStyle="1" w:styleId="28">
    <w:name w:val="wyc正文"/>
    <w:basedOn w:val="1"/>
    <w:qFormat/>
    <w:uiPriority w:val="0"/>
    <w:pPr>
      <w:ind w:firstLine="480"/>
    </w:pPr>
    <w:rPr>
      <w:bCs/>
      <w:szCs w:val="20"/>
    </w:rPr>
  </w:style>
  <w:style w:type="character" w:customStyle="1" w:styleId="29">
    <w:name w:val="content-right_8zs401"/>
    <w:qFormat/>
    <w:uiPriority w:val="0"/>
  </w:style>
  <w:style w:type="character" w:customStyle="1" w:styleId="30">
    <w:name w:val="批注文字 字符"/>
    <w:basedOn w:val="16"/>
    <w:link w:val="6"/>
    <w:qFormat/>
    <w:uiPriority w:val="0"/>
    <w:rPr>
      <w:kern w:val="2"/>
      <w:sz w:val="24"/>
      <w:szCs w:val="24"/>
    </w:rPr>
  </w:style>
  <w:style w:type="character" w:customStyle="1" w:styleId="31">
    <w:name w:val="批注主题 字符"/>
    <w:basedOn w:val="30"/>
    <w:link w:val="13"/>
    <w:qFormat/>
    <w:uiPriority w:val="0"/>
    <w:rPr>
      <w:b/>
      <w:bCs/>
      <w:kern w:val="2"/>
      <w:sz w:val="24"/>
      <w:szCs w:val="24"/>
    </w:rPr>
  </w:style>
  <w:style w:type="character" w:customStyle="1" w:styleId="32">
    <w:name w:val="批注框文本 字符"/>
    <w:basedOn w:val="16"/>
    <w:link w:val="7"/>
    <w:qFormat/>
    <w:uiPriority w:val="0"/>
    <w:rPr>
      <w:kern w:val="2"/>
      <w:sz w:val="18"/>
      <w:szCs w:val="18"/>
    </w:rPr>
  </w:style>
  <w:style w:type="paragraph" w:customStyle="1" w:styleId="33">
    <w:name w:val="修订1"/>
    <w:hidden/>
    <w:semi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jpe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48564</Words>
  <Characters>52442</Characters>
  <Lines>398</Lines>
  <Paragraphs>112</Paragraphs>
  <TotalTime>164</TotalTime>
  <ScaleCrop>false</ScaleCrop>
  <LinksUpToDate>false</LinksUpToDate>
  <CharactersWithSpaces>52739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2022-11-24T08:14:00Z</dcterms:created>
  <dc:creator>摘星</dc:creator>
  <cp:lastModifiedBy>摘星</cp:lastModifiedBy>
  <dcterms:modified xsi:type="dcterms:W3CDTF">2022-11-28T05:01:48Z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298C9F20403743DC877570FD79531972</vt:lpwstr>
  </property>
</Properties>
</file>